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spacing w:before="0"/>
        <w:jc w:val="center"/>
        <w:rPr>
          <w:lang w:val="ru-RU"/>
        </w:rPr>
      </w:pPr>
      <w:r>
        <w:rPr>
          <w:rFonts w:hAnsi="Trebuchet MS" w:hint="default"/>
          <w:rtl w:val="0"/>
          <w:lang w:val="ru-RU"/>
        </w:rPr>
        <w:t xml:space="preserve">Пошаговая методология мониторинга для показателя ЦУР </w:t>
      </w:r>
      <w:r>
        <w:rPr>
          <w:rFonts w:ascii="Trebuchet MS"/>
          <w:rtl w:val="0"/>
          <w:lang w:val="ru-RU"/>
        </w:rPr>
        <w:t>6.5.1</w:t>
      </w:r>
    </w:p>
    <w:p>
      <w:pPr>
        <w:pStyle w:val="Subtitle"/>
        <w:spacing w:after="400"/>
        <w:rPr>
          <w:caps w:val="0"/>
          <w:smallCaps w:val="0"/>
          <w:color w:val="000000"/>
          <w:spacing w:val="0"/>
          <w:sz w:val="30"/>
          <w:szCs w:val="30"/>
          <w:u w:color="000000"/>
          <w:lang w:val="ru-RU"/>
        </w:rPr>
      </w:pPr>
      <w:r>
        <w:rPr>
          <w:rFonts w:hAnsi="Trebuchet MS" w:hint="default"/>
          <w:caps w:val="0"/>
          <w:smallCaps w:val="0"/>
          <w:color w:val="000000"/>
          <w:spacing w:val="0"/>
          <w:sz w:val="30"/>
          <w:szCs w:val="30"/>
          <w:u w:color="000000"/>
          <w:rtl w:val="0"/>
          <w:lang w:val="ru-RU"/>
        </w:rPr>
        <w:t xml:space="preserve">Степень осуществления комплексного управления водными ресурсами </w:t>
      </w:r>
      <w:r>
        <w:rPr>
          <w:rFonts w:ascii="Trebuchet MS"/>
          <w:caps w:val="0"/>
          <w:smallCaps w:val="0"/>
          <w:color w:val="000000"/>
          <w:spacing w:val="0"/>
          <w:sz w:val="30"/>
          <w:szCs w:val="30"/>
          <w:u w:color="000000"/>
          <w:rtl w:val="0"/>
          <w:lang w:val="ru-RU"/>
        </w:rPr>
        <w:t>(0-100)</w:t>
      </w:r>
      <w:r>
        <w:rPr>
          <w:rFonts w:ascii="Times New Roman" w:cs="Times New Roman" w:hAnsi="Times New Roman" w:eastAsia="Times New Roman"/>
          <w:vertAlign w:val="superscript"/>
          <w:rtl w:val="0"/>
          <w:lang w:val="ru-RU"/>
        </w:rPr>
        <w:footnoteReference w:id="1"/>
      </w:r>
    </w:p>
    <w:p>
      <w:pPr>
        <w:pStyle w:val="Заголов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1.</w:t>
        <w:tab/>
      </w:r>
      <w:r>
        <w:rPr>
          <w:rFonts w:ascii="Calibri" w:cs="Calibri" w:hAnsi="Calibri" w:eastAsia="Calibri"/>
          <w:rtl w:val="0"/>
          <w:lang w:val="ru-RU"/>
        </w:rPr>
        <w:t>Введение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 xml:space="preserve">Данная методология мониторинга служит руководством для национальных правительств по мониторингу прогресса в осуществлении комплексного управления водными ресурсами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КУВР</w:t>
      </w:r>
      <w:r>
        <w:rPr>
          <w:rFonts w:ascii="Calibri" w:cs="Calibri" w:hAnsi="Calibri" w:eastAsia="Calibri"/>
          <w:rtl w:val="0"/>
          <w:lang w:val="ru-RU"/>
        </w:rPr>
        <w:t xml:space="preserve">), </w:t>
      </w:r>
      <w:r>
        <w:rPr>
          <w:rFonts w:ascii="Calibri" w:cs="Calibri" w:hAnsi="Calibri" w:eastAsia="Calibri"/>
          <w:rtl w:val="0"/>
          <w:lang w:val="ru-RU"/>
        </w:rPr>
        <w:t xml:space="preserve">целевой задачи </w:t>
      </w:r>
      <w:r>
        <w:rPr>
          <w:rFonts w:ascii="Calibri" w:cs="Calibri" w:hAnsi="Calibri" w:eastAsia="Calibri"/>
          <w:rtl w:val="0"/>
          <w:lang w:val="ru-RU"/>
        </w:rPr>
        <w:t xml:space="preserve">6.5 </w:t>
      </w:r>
      <w:r>
        <w:rPr>
          <w:rFonts w:ascii="Calibri" w:cs="Calibri" w:hAnsi="Calibri" w:eastAsia="Calibri"/>
          <w:rtl w:val="0"/>
          <w:lang w:val="ru-RU"/>
        </w:rPr>
        <w:t xml:space="preserve">Цели в области устойчивого развития </w:t>
      </w:r>
      <w:r>
        <w:rPr>
          <w:rFonts w:ascii="Calibri" w:cs="Calibri" w:hAnsi="Calibri" w:eastAsia="Calibri"/>
          <w:rtl w:val="0"/>
          <w:lang w:val="ru-RU"/>
        </w:rPr>
        <w:t xml:space="preserve">6 </w:t>
      </w:r>
      <w:r>
        <w:rPr>
          <w:rFonts w:ascii="Calibri" w:cs="Calibri" w:hAnsi="Calibri" w:eastAsia="Calibri"/>
          <w:rtl w:val="0"/>
          <w:lang w:val="ru-RU"/>
        </w:rPr>
        <w:t xml:space="preserve">по водными ресурсам и санитарии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 xml:space="preserve">ЦУР </w:t>
      </w:r>
      <w:r>
        <w:rPr>
          <w:rFonts w:ascii="Calibri" w:cs="Calibri" w:hAnsi="Calibri" w:eastAsia="Calibri"/>
          <w:rtl w:val="0"/>
          <w:lang w:val="ru-RU"/>
        </w:rPr>
        <w:t xml:space="preserve">6). </w:t>
      </w:r>
      <w:r>
        <w:rPr>
          <w:rFonts w:ascii="Calibri" w:cs="Calibri" w:hAnsi="Calibri" w:eastAsia="Calibri"/>
          <w:rtl w:val="0"/>
          <w:lang w:val="ru-RU"/>
        </w:rPr>
        <w:t>Она основана на вопроснике по самооценке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заполняемом каждые три года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Методология стремится использовать осуществляемую странами деятельность по мониторингу и опираться на нее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давая возможность странам начать деятельность по мониторингу на уровне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соответствующем их национальным возможностям и имеющимся ресурсам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затем поступательно двигаться вперед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 xml:space="preserve">Вопросник доступен по адресу </w:t>
      </w:r>
      <w:hyperlink r:id="rId4" w:history="1">
        <w:r>
          <w:rPr>
            <w:rStyle w:val="Hyperlink.0"/>
            <w:rFonts w:ascii="Calibri" w:cs="Calibri" w:hAnsi="Calibri" w:eastAsia="Calibri"/>
            <w:rtl w:val="0"/>
            <w:lang w:val="ru-RU"/>
          </w:rPr>
          <w:t>http://iwrmdataportal.unepdhi.org/iwrmmonitoring.html</w:t>
        </w:r>
      </w:hyperlink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Подробная информация о процедуре возврата вопросника и получении помощи в случае возникновения вопросов содержится в разделах </w:t>
      </w:r>
      <w:r>
        <w:rPr>
          <w:rFonts w:ascii="Calibri" w:cs="Calibri" w:hAnsi="Calibri" w:eastAsia="Calibri"/>
          <w:rtl w:val="0"/>
          <w:lang w:val="ru-RU"/>
        </w:rPr>
        <w:t xml:space="preserve">5 </w:t>
      </w:r>
      <w:r>
        <w:rPr>
          <w:rFonts w:ascii="Calibri" w:cs="Calibri" w:hAnsi="Calibri" w:eastAsia="Calibri"/>
          <w:rtl w:val="0"/>
          <w:lang w:val="ru-RU"/>
        </w:rPr>
        <w:t xml:space="preserve">и </w:t>
      </w:r>
      <w:r>
        <w:rPr>
          <w:rFonts w:ascii="Calibri" w:cs="Calibri" w:hAnsi="Calibri" w:eastAsia="Calibri"/>
          <w:rtl w:val="0"/>
          <w:lang w:val="ru-RU"/>
        </w:rPr>
        <w:t>6.</w:t>
      </w:r>
    </w:p>
    <w:p>
      <w:pPr>
        <w:pStyle w:val="Заголовок 2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1.1</w:t>
        <w:tab/>
      </w:r>
      <w:r>
        <w:rPr>
          <w:rFonts w:ascii="Calibri" w:cs="Calibri" w:hAnsi="Calibri" w:eastAsia="Calibri"/>
          <w:rtl w:val="0"/>
          <w:lang w:val="ru-RU"/>
        </w:rPr>
        <w:t>основные сведения о показателе и вопроснике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Целевая задача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6.5</w:t>
      </w:r>
      <w:r>
        <w:rPr>
          <w:rFonts w:ascii="Calibri" w:cs="Calibri" w:hAnsi="Calibri" w:eastAsia="Calibri"/>
          <w:rtl w:val="0"/>
          <w:lang w:val="ru-RU"/>
        </w:rPr>
        <w:t xml:space="preserve"> </w:t>
        <w:tab/>
        <w:t xml:space="preserve">К </w:t>
      </w:r>
      <w:r>
        <w:rPr>
          <w:rFonts w:ascii="Calibri" w:cs="Calibri" w:hAnsi="Calibri" w:eastAsia="Calibri"/>
          <w:rtl w:val="0"/>
          <w:lang w:val="ru-RU"/>
        </w:rPr>
        <w:t>2030</w:t>
      </w:r>
      <w:r>
        <w:rPr>
          <w:rFonts w:ascii="Calibri" w:cs="Calibri" w:hAnsi="Calibri" w:eastAsia="Calibri"/>
          <w:rtl w:val="0"/>
          <w:lang w:val="ru-RU"/>
        </w:rPr>
        <w:t> г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внедрить комплексное управление водными ресурсами на всех уровнях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 том числе посредством трансграничного сотрудничества в соответствующих случаях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Показатель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6.5.1</w:t>
      </w:r>
      <w:r>
        <w:rPr>
          <w:rFonts w:ascii="Calibri" w:cs="Calibri" w:hAnsi="Calibri" w:eastAsia="Calibri"/>
          <w:rtl w:val="0"/>
          <w:lang w:val="ru-RU"/>
        </w:rPr>
        <w:t xml:space="preserve"> </w:t>
        <w:tab/>
        <w:t xml:space="preserve">Степень осуществления комплексного управления водными ресурсами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КУВР</w:t>
      </w:r>
      <w:r>
        <w:rPr>
          <w:rFonts w:ascii="Calibri" w:cs="Calibri" w:hAnsi="Calibri" w:eastAsia="Calibri"/>
          <w:rtl w:val="0"/>
          <w:lang w:val="ru-RU"/>
        </w:rPr>
        <w:t>) (0100).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 xml:space="preserve">Показатель определяется по результатам вопросника по комплексному управлению водными ресурсами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КУВР</w:t>
      </w:r>
      <w:r>
        <w:rPr>
          <w:rFonts w:ascii="Calibri" w:cs="Calibri" w:hAnsi="Calibri" w:eastAsia="Calibri"/>
          <w:rtl w:val="0"/>
          <w:lang w:val="ru-RU"/>
        </w:rPr>
        <w:t xml:space="preserve">), </w:t>
      </w:r>
      <w:r>
        <w:rPr>
          <w:rFonts w:ascii="Calibri" w:cs="Calibri" w:hAnsi="Calibri" w:eastAsia="Calibri"/>
          <w:rtl w:val="0"/>
          <w:lang w:val="ru-RU"/>
        </w:rPr>
        <w:t>состоящего их четырех разделов</w:t>
      </w:r>
      <w:r>
        <w:rPr>
          <w:rFonts w:ascii="Calibri" w:cs="Calibri" w:hAnsi="Calibri" w:eastAsia="Calibri"/>
          <w:rtl w:val="0"/>
          <w:lang w:val="ru-RU"/>
        </w:rPr>
        <w:t>:</w:t>
      </w:r>
    </w:p>
    <w:p>
      <w:pPr>
        <w:pStyle w:val="Текстовый блок"/>
        <w:spacing w:before="60" w:after="0"/>
        <w:ind w:left="340" w:firstLine="0"/>
        <w:rPr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1.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Благоприятные условия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hAnsi="Trebuchet MS" w:hint="default"/>
          <w:rtl w:val="0"/>
          <w:lang w:val="ru-RU"/>
        </w:rPr>
        <w:t xml:space="preserve"> создание условий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способствующих поддержанию внедрения КУВР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которые включают наиболее типичные политические и законодательные инструменты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также инструменты стратегического планирования для КУВР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spacing w:before="60" w:after="0"/>
        <w:ind w:left="340" w:firstLine="0"/>
        <w:rPr>
          <w:rFonts w:ascii="Calibri" w:cs="Calibri" w:hAnsi="Calibri" w:eastAsia="Calibri"/>
          <w:b w:val="1"/>
          <w:bCs w:val="1"/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2.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Учреждения и участие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: </w:t>
      </w:r>
      <w:r>
        <w:rPr>
          <w:rFonts w:hAnsi="Trebuchet MS" w:hint="default"/>
          <w:rtl w:val="0"/>
          <w:lang w:val="ru-RU"/>
        </w:rPr>
        <w:t>весь спектр и роли политических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социальных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экономических и административных учреждений и других групп заинтересованных сторон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способствующих поддержанию внедрения КУВР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spacing w:before="60" w:after="0"/>
        <w:ind w:left="340" w:firstLine="0"/>
        <w:rPr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3.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Инструменты управления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: </w:t>
      </w:r>
      <w:r>
        <w:rPr>
          <w:rFonts w:hAnsi="Trebuchet MS" w:hint="default"/>
          <w:rtl w:val="0"/>
          <w:lang w:val="ru-RU"/>
        </w:rPr>
        <w:t>инструменты и виды деятельности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которые позволят лицам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принимающим решения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 пользователям делать рациональный и обоснованный выбор среди альтернативных действий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Текстовый блок"/>
        <w:spacing w:before="60" w:after="120"/>
        <w:ind w:left="340" w:firstLine="0"/>
        <w:rPr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4.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Финансирование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hAnsi="Trebuchet MS" w:hint="default"/>
          <w:rtl w:val="0"/>
          <w:lang w:val="ru-RU"/>
        </w:rPr>
        <w:t xml:space="preserve"> составление бюджета и доступное из различных источников финансирование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которое используется для развития водных ресурсов и управления ими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Каждый раздел состоит из двух подразделов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  <w:r>
        <w:rPr>
          <w:rFonts w:ascii="Calibri" w:cs="Calibri" w:hAnsi="Calibri" w:eastAsia="Calibri"/>
          <w:rtl w:val="0"/>
          <w:lang w:val="ru-RU"/>
        </w:rPr>
        <w:t>первый охватывает национальный уровень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второй — «все уровни»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включая субнациональный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уровень бассейна</w:t>
      </w:r>
      <w:r>
        <w:rPr>
          <w:rFonts w:ascii="Calibri" w:cs="Calibri" w:hAnsi="Calibri" w:eastAsia="Calibri"/>
          <w:rtl w:val="0"/>
          <w:lang w:val="ru-RU"/>
        </w:rPr>
        <w:t>/</w:t>
      </w:r>
      <w:r>
        <w:rPr>
          <w:rFonts w:ascii="Calibri" w:cs="Calibri" w:hAnsi="Calibri" w:eastAsia="Calibri"/>
          <w:rtl w:val="0"/>
          <w:lang w:val="ru-RU"/>
        </w:rPr>
        <w:t>водоносного горизонта и трансграничный уровень в соответствующих случаях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Заголовок 2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1.2</w:t>
        <w:tab/>
      </w:r>
      <w:r>
        <w:rPr>
          <w:rFonts w:ascii="Calibri" w:cs="Calibri" w:hAnsi="Calibri" w:eastAsia="Calibri"/>
          <w:rtl w:val="0"/>
          <w:lang w:val="ru-RU"/>
        </w:rPr>
        <w:t>Целевые уровни показателя</w:t>
      </w:r>
    </w:p>
    <w:p>
      <w:pPr>
        <w:pStyle w:val="Текстовый блок"/>
        <w:rPr>
          <w:color w:val="000000"/>
          <w:u w:color="000000"/>
          <w:lang w:val="ru-RU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Для ответа на каждый вопрос могут быть выбраны баллы от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0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до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100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с шагом в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10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баллов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Выбор количества баллов опирается на описательный текст для шести пороговых показателей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отдельных по каждому вопросу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Пороговые показатели даны для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0, 20, 40, 60, 80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и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100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баллов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однако если респондент сочтет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что национальная ситуация оценивается количеством баллов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находящимся в промежутке между этими пороговыми показателями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может быть выбрано приращение в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10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баллов между пороговыми показателями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Таким образом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потенциальное количество баллов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которое может быть выбрано для ответа на каждый вопрос —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0, 10, 20, 30, 40, 50, 60, 70, 80, 90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и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100.</w:t>
      </w:r>
    </w:p>
    <w:p>
      <w:pPr>
        <w:pStyle w:val="Текстовый блок"/>
        <w:rPr>
          <w:u w:val="single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Баллы ответов в каждом разделе осредняются для получения среднего балла по разделу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Средние баллы по всем четырем разделам затем также осредняются для получения балла по показателю по шкале от </w:t>
      </w:r>
      <w:r>
        <w:rPr>
          <w:rFonts w:ascii="Calibri" w:cs="Calibri" w:hAnsi="Calibri" w:eastAsia="Calibri"/>
          <w:rtl w:val="0"/>
          <w:lang w:val="ru-RU"/>
        </w:rPr>
        <w:t xml:space="preserve">0 </w:t>
      </w:r>
      <w:r>
        <w:rPr>
          <w:rFonts w:ascii="Calibri" w:cs="Calibri" w:hAnsi="Calibri" w:eastAsia="Calibri"/>
          <w:rtl w:val="0"/>
          <w:lang w:val="ru-RU"/>
        </w:rPr>
        <w:t xml:space="preserve">до </w:t>
      </w:r>
      <w:r>
        <w:rPr>
          <w:rFonts w:ascii="Calibri" w:cs="Calibri" w:hAnsi="Calibri" w:eastAsia="Calibri"/>
          <w:rtl w:val="0"/>
          <w:lang w:val="ru-RU"/>
        </w:rPr>
        <w:t xml:space="preserve">100, </w:t>
      </w:r>
      <w:r>
        <w:rPr>
          <w:rFonts w:ascii="Calibri" w:cs="Calibri" w:hAnsi="Calibri" w:eastAsia="Calibri"/>
          <w:rtl w:val="0"/>
          <w:lang w:val="ru-RU"/>
        </w:rPr>
        <w:t>что представляет собой степень осуществления КУВР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Хотя конечный целевой уровень по всем странам составляет </w:t>
      </w:r>
      <w:r>
        <w:rPr>
          <w:rFonts w:ascii="Calibri" w:cs="Calibri" w:hAnsi="Calibri" w:eastAsia="Calibri"/>
          <w:rtl w:val="0"/>
          <w:lang w:val="ru-RU"/>
        </w:rPr>
        <w:t xml:space="preserve">100 </w:t>
      </w:r>
      <w:r>
        <w:rPr>
          <w:rFonts w:ascii="Calibri" w:cs="Calibri" w:hAnsi="Calibri" w:eastAsia="Calibri"/>
          <w:rtl w:val="0"/>
          <w:lang w:val="ru-RU"/>
        </w:rPr>
        <w:t>баллов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соответствует полному осуществлению КУВР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u w:val="single"/>
          <w:rtl w:val="0"/>
          <w:lang w:val="ru-RU"/>
        </w:rPr>
        <w:t>следует принимать во внимание</w:t>
      </w:r>
      <w:r>
        <w:rPr>
          <w:rFonts w:ascii="Calibri" w:cs="Calibri" w:hAnsi="Calibri" w:eastAsia="Calibri"/>
          <w:u w:val="single"/>
          <w:rtl w:val="0"/>
          <w:lang w:val="ru-RU"/>
        </w:rPr>
        <w:t xml:space="preserve">, </w:t>
      </w:r>
      <w:r>
        <w:rPr>
          <w:rFonts w:ascii="Calibri" w:cs="Calibri" w:hAnsi="Calibri" w:eastAsia="Calibri"/>
          <w:u w:val="single"/>
          <w:rtl w:val="0"/>
          <w:lang w:val="ru-RU"/>
        </w:rPr>
        <w:t>что страны находятся на разных этапах развития и эти баллы могут довольно значительно отличаться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Одно из главных преимуществ этого вопросника для стран заключается в возможности разделения данных по компонентам и видам вопросов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может быть использовано странами для предоставления быстрой оценки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какие аспекты КУВР осуществляются успешно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в отношении каких нужно приложить дополнительные усилия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u w:val="single"/>
          <w:rtl w:val="0"/>
          <w:lang w:val="ru-RU"/>
        </w:rPr>
        <w:t>Общий балл</w:t>
      </w:r>
      <w:r>
        <w:rPr>
          <w:rFonts w:ascii="Calibri" w:cs="Calibri" w:hAnsi="Calibri" w:eastAsia="Calibri"/>
          <w:rtl w:val="0"/>
          <w:lang w:val="ru-RU"/>
        </w:rPr>
        <w:t xml:space="preserve"> может быть интерпретирован следующим образом на основе степени осуществления КУВР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Однако в вопроснике также представлена более конкретная интерпретация по каждому вопросу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Текстовый блок"/>
        <w:ind w:left="720" w:hanging="360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ascii="Trebuchet MS"/>
          <w:rtl w:val="0"/>
          <w:lang w:val="ru-RU"/>
        </w:rPr>
        <w:t>0</w:t>
      </w:r>
      <w:r>
        <w:rPr>
          <w:rFonts w:hAnsi="Trebuchet MS" w:hint="default"/>
          <w:rtl w:val="0"/>
          <w:lang w:val="ru-RU"/>
        </w:rPr>
        <w:t xml:space="preserve"> – </w:t>
      </w:r>
      <w:r>
        <w:rPr>
          <w:rFonts w:ascii="Trebuchet MS"/>
          <w:rtl w:val="0"/>
          <w:lang w:val="ru-RU"/>
        </w:rPr>
        <w:t xml:space="preserve">&lt;=10 : </w:t>
      </w:r>
      <w:r>
        <w:rPr>
          <w:rFonts w:hAnsi="Trebuchet MS" w:hint="default"/>
          <w:rtl w:val="0"/>
          <w:lang w:val="ru-RU"/>
        </w:rPr>
        <w:t>очень низкая</w:t>
      </w:r>
      <w:r>
        <w:rPr>
          <w:rFonts w:ascii="Trebuchet MS"/>
          <w:rtl w:val="0"/>
          <w:lang w:val="ru-RU"/>
        </w:rPr>
        <w:t xml:space="preserve">: </w:t>
      </w:r>
      <w:r>
        <w:rPr>
          <w:rFonts w:hAnsi="Trebuchet MS" w:hint="default"/>
          <w:rtl w:val="0"/>
          <w:lang w:val="ru-RU"/>
        </w:rPr>
        <w:t>разработка элементов КУВР в целом не начата или замедлилась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ind w:left="720" w:hanging="360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ascii="Trebuchet MS"/>
          <w:rtl w:val="0"/>
          <w:lang w:val="ru-RU"/>
        </w:rPr>
        <w:t>&gt;10</w:t>
      </w:r>
      <w:r>
        <w:rPr>
          <w:rFonts w:hAnsi="Trebuchet MS" w:hint="default"/>
          <w:rtl w:val="0"/>
          <w:lang w:val="ru-RU"/>
        </w:rPr>
        <w:t xml:space="preserve"> – </w:t>
      </w:r>
      <w:r>
        <w:rPr>
          <w:rFonts w:ascii="Trebuchet MS"/>
          <w:rtl w:val="0"/>
          <w:lang w:val="ru-RU"/>
        </w:rPr>
        <w:t xml:space="preserve">&lt;=30 : </w:t>
      </w:r>
      <w:r>
        <w:rPr>
          <w:rFonts w:hAnsi="Trebuchet MS" w:hint="default"/>
          <w:rtl w:val="0"/>
          <w:lang w:val="ru-RU"/>
        </w:rPr>
        <w:t>низкая</w:t>
      </w:r>
      <w:r>
        <w:rPr>
          <w:rFonts w:ascii="Trebuchet MS"/>
          <w:rtl w:val="0"/>
          <w:lang w:val="ru-RU"/>
        </w:rPr>
        <w:t xml:space="preserve">: </w:t>
      </w:r>
      <w:r>
        <w:rPr>
          <w:rFonts w:hAnsi="Trebuchet MS" w:hint="default"/>
          <w:rtl w:val="0"/>
          <w:lang w:val="ru-RU"/>
        </w:rPr>
        <w:t>осуществление элементов КУВР в целом начато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 в ограниченном масштабе по стране и с потенциально низким уровнем привлечения и участия групп заинтересованных сторон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ind w:left="720" w:hanging="360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ascii="Trebuchet MS"/>
          <w:rtl w:val="0"/>
          <w:lang w:val="ru-RU"/>
        </w:rPr>
        <w:t>&gt;30</w:t>
      </w:r>
      <w:r>
        <w:rPr>
          <w:rFonts w:hAnsi="Trebuchet MS" w:hint="default"/>
          <w:rtl w:val="0"/>
          <w:lang w:val="ru-RU"/>
        </w:rPr>
        <w:t xml:space="preserve"> – </w:t>
      </w:r>
      <w:r>
        <w:rPr>
          <w:rFonts w:ascii="Trebuchet MS"/>
          <w:rtl w:val="0"/>
          <w:lang w:val="ru-RU"/>
        </w:rPr>
        <w:t xml:space="preserve">&lt;=50 : </w:t>
      </w:r>
      <w:r>
        <w:rPr>
          <w:rFonts w:hAnsi="Trebuchet MS" w:hint="default"/>
          <w:rtl w:val="0"/>
          <w:lang w:val="ru-RU"/>
        </w:rPr>
        <w:t>умеренно низкая</w:t>
      </w:r>
      <w:r>
        <w:rPr>
          <w:rFonts w:ascii="Trebuchet MS"/>
          <w:rtl w:val="0"/>
          <w:lang w:val="ru-RU"/>
        </w:rPr>
        <w:t xml:space="preserve">: </w:t>
      </w:r>
      <w:r>
        <w:rPr>
          <w:rFonts w:hAnsi="Trebuchet MS" w:hint="default"/>
          <w:rtl w:val="0"/>
          <w:lang w:val="ru-RU"/>
        </w:rPr>
        <w:t>элементы КУВР в целом утверждены и осуществляются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ind w:left="720" w:hanging="360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ascii="Trebuchet MS"/>
          <w:rtl w:val="0"/>
          <w:lang w:val="ru-RU"/>
        </w:rPr>
        <w:t>&gt;50</w:t>
      </w:r>
      <w:r>
        <w:rPr>
          <w:rFonts w:hAnsi="Trebuchet MS" w:hint="default"/>
          <w:rtl w:val="0"/>
          <w:lang w:val="ru-RU"/>
        </w:rPr>
        <w:t xml:space="preserve"> – </w:t>
      </w:r>
      <w:r>
        <w:rPr>
          <w:rFonts w:ascii="Trebuchet MS"/>
          <w:rtl w:val="0"/>
          <w:lang w:val="ru-RU"/>
        </w:rPr>
        <w:t xml:space="preserve">&lt;=70 : </w:t>
      </w:r>
      <w:r>
        <w:rPr>
          <w:rFonts w:hAnsi="Trebuchet MS" w:hint="default"/>
          <w:rtl w:val="0"/>
          <w:lang w:val="ru-RU"/>
        </w:rPr>
        <w:t>умеренно высокая</w:t>
      </w:r>
      <w:r>
        <w:rPr>
          <w:rFonts w:ascii="Trebuchet MS"/>
          <w:rtl w:val="0"/>
          <w:lang w:val="ru-RU"/>
        </w:rPr>
        <w:t xml:space="preserve">: </w:t>
      </w:r>
      <w:r>
        <w:rPr>
          <w:rFonts w:hAnsi="Trebuchet MS" w:hint="default"/>
          <w:rtl w:val="0"/>
          <w:lang w:val="ru-RU"/>
        </w:rPr>
        <w:t>возможности для осуществления элементов КУВР в целом являются надлежащими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 осуществление в целом идет в рамках долгосрочных программ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ind w:left="720" w:hanging="360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ascii="Trebuchet MS"/>
          <w:rtl w:val="0"/>
          <w:lang w:val="ru-RU"/>
        </w:rPr>
        <w:t>&gt;70</w:t>
      </w:r>
      <w:r>
        <w:rPr>
          <w:rFonts w:hAnsi="Trebuchet MS" w:hint="default"/>
          <w:rtl w:val="0"/>
          <w:lang w:val="ru-RU"/>
        </w:rPr>
        <w:t xml:space="preserve"> – </w:t>
      </w:r>
      <w:r>
        <w:rPr>
          <w:rFonts w:ascii="Trebuchet MS"/>
          <w:rtl w:val="0"/>
          <w:lang w:val="ru-RU"/>
        </w:rPr>
        <w:t xml:space="preserve">&lt;=90 : </w:t>
      </w:r>
      <w:r>
        <w:rPr>
          <w:rFonts w:hAnsi="Trebuchet MS" w:hint="default"/>
          <w:rtl w:val="0"/>
          <w:lang w:val="ru-RU"/>
        </w:rPr>
        <w:t>высокая</w:t>
      </w:r>
      <w:r>
        <w:rPr>
          <w:rFonts w:ascii="Trebuchet MS"/>
          <w:rtl w:val="0"/>
          <w:lang w:val="ru-RU"/>
        </w:rPr>
        <w:t xml:space="preserve">: </w:t>
      </w:r>
      <w:r>
        <w:rPr>
          <w:rFonts w:hAnsi="Trebuchet MS" w:hint="default"/>
          <w:rtl w:val="0"/>
          <w:lang w:val="ru-RU"/>
        </w:rPr>
        <w:t>задачи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поставленные в  планах и программах по КУВР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 целом выполняются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географическое покрытие и уровень участия заинтересованных сторон в целом хороший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ind w:left="720" w:hanging="360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ascii="Trebuchet MS"/>
          <w:rtl w:val="0"/>
          <w:lang w:val="ru-RU"/>
        </w:rPr>
        <w:t>&gt;90</w:t>
      </w:r>
      <w:r>
        <w:rPr>
          <w:rFonts w:hAnsi="Trebuchet MS" w:hint="default"/>
          <w:rtl w:val="0"/>
          <w:lang w:val="ru-RU"/>
        </w:rPr>
        <w:t xml:space="preserve"> – </w:t>
      </w:r>
      <w:r>
        <w:rPr>
          <w:rFonts w:ascii="Trebuchet MS"/>
          <w:rtl w:val="0"/>
          <w:lang w:val="ru-RU"/>
        </w:rPr>
        <w:t xml:space="preserve">&lt;=100 : </w:t>
      </w:r>
      <w:r>
        <w:rPr>
          <w:rFonts w:hAnsi="Trebuchet MS" w:hint="default"/>
          <w:rtl w:val="0"/>
          <w:lang w:val="ru-RU"/>
        </w:rPr>
        <w:t>очень высокая</w:t>
      </w:r>
      <w:r>
        <w:rPr>
          <w:rFonts w:ascii="Trebuchet MS"/>
          <w:rtl w:val="0"/>
          <w:lang w:val="ru-RU"/>
        </w:rPr>
        <w:t xml:space="preserve">: </w:t>
      </w:r>
      <w:r>
        <w:rPr>
          <w:rFonts w:hAnsi="Trebuchet MS" w:hint="default"/>
          <w:rtl w:val="0"/>
          <w:lang w:val="ru-RU"/>
        </w:rPr>
        <w:t>подавляющее большинство элементов КУВР полностью внедрено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задачи последовательно выполнены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планы и программы периодически оцениваются и пересматриваются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В разделе </w:t>
      </w:r>
      <w:r>
        <w:rPr>
          <w:rFonts w:ascii="Calibri" w:cs="Calibri" w:hAnsi="Calibri" w:eastAsia="Calibri"/>
          <w:rtl w:val="0"/>
          <w:lang w:val="ru-RU"/>
        </w:rPr>
        <w:t xml:space="preserve">4 </w:t>
      </w:r>
      <w:r>
        <w:rPr>
          <w:rFonts w:ascii="Calibri" w:cs="Calibri" w:hAnsi="Calibri" w:eastAsia="Calibri"/>
          <w:rtl w:val="0"/>
          <w:lang w:val="ru-RU"/>
        </w:rPr>
        <w:t>приведена более подробная информация о расчете показателя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Заголов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2.</w:t>
        <w:tab/>
      </w:r>
      <w:r>
        <w:rPr>
          <w:rFonts w:ascii="Calibri" w:cs="Calibri" w:hAnsi="Calibri" w:eastAsia="Calibri"/>
          <w:rtl w:val="0"/>
          <w:lang w:val="ru-RU"/>
        </w:rPr>
        <w:t>Предлагаемая методология мониторинга</w:t>
      </w:r>
    </w:p>
    <w:p>
      <w:pPr>
        <w:pStyle w:val="Заголовок 2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2.1</w:t>
        <w:tab/>
      </w:r>
      <w:r>
        <w:rPr>
          <w:rFonts w:ascii="Calibri" w:cs="Calibri" w:hAnsi="Calibri" w:eastAsia="Calibri"/>
          <w:rtl w:val="0"/>
          <w:lang w:val="ru-RU"/>
        </w:rPr>
        <w:t>Концепция мониторинга и определения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КУВР — это процесс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который способствует скоординированному освоению водных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земельных и связанных с ними ресурсов и управлению ими в целях извлечения на равноправной основе вытекающей из этого максимальной пользы с точки зрения экономического и социального благосостояния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без ущерба для устойчивости важнейших экосистем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КУВР — не самоцель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средство достижения трех ключевых аспектов устойчивого развития</w:t>
      </w:r>
      <w:r>
        <w:rPr>
          <w:rFonts w:ascii="Calibri" w:cs="Calibri" w:hAnsi="Calibri" w:eastAsia="Calibri"/>
          <w:rtl w:val="0"/>
          <w:lang w:val="ru-RU"/>
        </w:rPr>
        <w:t>:</w:t>
      </w:r>
    </w:p>
    <w:p>
      <w:pPr>
        <w:pStyle w:val="Текстовый блок"/>
        <w:ind w:left="720" w:hanging="360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hAnsi="Trebuchet MS" w:hint="default"/>
          <w:rtl w:val="0"/>
          <w:lang w:val="ru-RU"/>
        </w:rPr>
        <w:t>экономической эффективности использования водных ресурсов оптимальным образом</w:t>
      </w:r>
      <w:r>
        <w:rPr>
          <w:rFonts w:ascii="Trebuchet MS"/>
          <w:rtl w:val="0"/>
          <w:lang w:val="ru-RU"/>
        </w:rPr>
        <w:t>;</w:t>
      </w:r>
    </w:p>
    <w:p>
      <w:pPr>
        <w:pStyle w:val="Текстовый блок"/>
        <w:ind w:left="720" w:hanging="360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hAnsi="Trebuchet MS" w:hint="default"/>
          <w:rtl w:val="0"/>
          <w:lang w:val="ru-RU"/>
        </w:rPr>
        <w:t>социального равенства при распределении водных ресурсов между социальными и экономическими группами</w:t>
      </w:r>
      <w:r>
        <w:rPr>
          <w:rFonts w:ascii="Trebuchet MS"/>
          <w:rtl w:val="0"/>
          <w:lang w:val="ru-RU"/>
        </w:rPr>
        <w:t>;</w:t>
      </w:r>
    </w:p>
    <w:p>
      <w:pPr>
        <w:pStyle w:val="Текстовый блок"/>
        <w:ind w:left="720" w:hanging="360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hAnsi="Trebuchet MS" w:hint="default"/>
          <w:rtl w:val="0"/>
          <w:lang w:val="ru-RU"/>
        </w:rPr>
        <w:t>экологической устойчивости для защиты базы водных ресурсов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также связанных с ними экосистем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Вопросник используется для получения информации о прогрессе в реализации цели КУВР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Длина вопросника уравновешена с количеством информации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необходимой для освещения главных аспектов КУВР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Странам предлагается предоставить по каждому вопросу дополнительную информацию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которая может помочь другим лучше понять выбор количества баллов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Вопросник должен рассылаться каждые три года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Заголовок 2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2.2</w:t>
        <w:tab/>
      </w:r>
      <w:r>
        <w:rPr>
          <w:rFonts w:ascii="Calibri" w:cs="Calibri" w:hAnsi="Calibri" w:eastAsia="Calibri"/>
          <w:rtl w:val="0"/>
          <w:lang w:val="ru-RU"/>
        </w:rPr>
        <w:t>Рекомендации по процессу мониторинга и отчетности в странах</w:t>
      </w:r>
    </w:p>
    <w:p>
      <w:pPr>
        <w:pStyle w:val="Текстовый блок"/>
        <w:spacing w:after="0"/>
        <w:jc w:val="both"/>
        <w:rPr>
          <w:lang w:val="ru-RU"/>
        </w:rPr>
      </w:pPr>
      <w:r>
        <w:rPr>
          <w:rFonts w:hAnsi="Trebuchet MS" w:hint="default"/>
          <w:rtl w:val="0"/>
          <w:lang w:val="ru-RU"/>
        </w:rPr>
        <w:t xml:space="preserve">Мониторинг прогресса в достижении целевой задачи ЦУР </w:t>
      </w:r>
      <w:r>
        <w:rPr>
          <w:rFonts w:ascii="Trebuchet MS"/>
          <w:rtl w:val="0"/>
          <w:lang w:val="ru-RU"/>
        </w:rPr>
        <w:t xml:space="preserve">6.5 </w:t>
      </w:r>
      <w:r>
        <w:rPr>
          <w:rFonts w:hAnsi="Trebuchet MS" w:hint="default"/>
          <w:rtl w:val="0"/>
          <w:lang w:val="ru-RU"/>
        </w:rPr>
        <w:t>входит в сферу ответственности национальных правительств при поддержке со стороны Организации Объединенных Наций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Программа ООН по окружающей среде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«ООН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Окружающая среда»</w:t>
      </w:r>
      <w:r>
        <w:rPr>
          <w:rFonts w:ascii="Trebuchet MS"/>
          <w:rtl w:val="0"/>
          <w:lang w:val="ru-RU"/>
        </w:rPr>
        <w:t xml:space="preserve">) </w:t>
      </w:r>
      <w:r>
        <w:rPr>
          <w:rFonts w:hAnsi="Trebuchet MS" w:hint="default"/>
          <w:rtl w:val="0"/>
          <w:lang w:val="ru-RU"/>
        </w:rPr>
        <w:t>была назначена учреждением системы ООН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несущим ответственность за поддержку национальных и глобальных процессов мониторинга и отчетности по показателю </w:t>
      </w:r>
      <w:r>
        <w:rPr>
          <w:rFonts w:ascii="Trebuchet MS"/>
          <w:rtl w:val="0"/>
          <w:lang w:val="ru-RU"/>
        </w:rPr>
        <w:t>6.5.1.</w:t>
      </w:r>
      <w:r>
        <w:rPr>
          <w:rFonts w:hAnsi="Trebuchet MS" w:hint="default"/>
          <w:rtl w:val="0"/>
          <w:lang w:val="ru-RU"/>
        </w:rPr>
        <w:t> После диалога со странами был согласован следующий процесс</w:t>
      </w:r>
      <w:r>
        <w:rPr>
          <w:rFonts w:ascii="Trebuchet MS"/>
          <w:rtl w:val="0"/>
          <w:lang w:val="ru-RU"/>
        </w:rPr>
        <w:t>:</w:t>
      </w:r>
    </w:p>
    <w:p>
      <w:pPr>
        <w:pStyle w:val="Текстовый блок"/>
        <w:spacing w:after="0"/>
        <w:ind w:left="360" w:hanging="360"/>
        <w:jc w:val="both"/>
        <w:rPr>
          <w:lang w:val="ru-RU"/>
        </w:rPr>
      </w:pPr>
      <w:r>
        <w:rPr>
          <w:rFonts w:ascii="Trebuchet MS"/>
          <w:rtl w:val="0"/>
          <w:lang w:val="ru-RU"/>
        </w:rPr>
        <w:t>1.</w:t>
        <w:tab/>
      </w:r>
      <w:r>
        <w:rPr>
          <w:rFonts w:hAnsi="Trebuchet MS" w:hint="default"/>
          <w:rtl w:val="0"/>
          <w:lang w:val="ru-RU"/>
        </w:rPr>
        <w:t>«ООН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Окружающая среда» обращается в министерство национального правительства с просьбой о содействии в назначении лица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ответственного за надзор над процессом обзора КУВР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заполнением вопросника и представлением отчета в центральную базу данных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Отдельное лицо из соответствующего министерства назначается национальным координатором по КУВР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spacing w:after="0"/>
        <w:ind w:left="360" w:hanging="360"/>
        <w:jc w:val="both"/>
        <w:rPr>
          <w:lang w:val="ru-RU"/>
        </w:rPr>
      </w:pPr>
      <w:r>
        <w:rPr>
          <w:rFonts w:ascii="Trebuchet MS"/>
          <w:rtl w:val="0"/>
          <w:lang w:val="ru-RU"/>
        </w:rPr>
        <w:t>2.</w:t>
        <w:tab/>
      </w:r>
      <w:r>
        <w:rPr>
          <w:rFonts w:hAnsi="Trebuchet MS" w:hint="default"/>
          <w:rtl w:val="0"/>
          <w:lang w:val="ru-RU"/>
        </w:rPr>
        <w:t>Координатор по КУВР несет ответственность за управление процессом заполнения одного вопросника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отражающего текущий статус осуществления КУВР в стране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Вопросник должен заполняться на основе консультаций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которые страна сочтет необходимыми провести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Национальный координатор по КУВР сам принимает решение в отношении выбора наиболее подходящего процесса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исходя из имеющихся ресурсов и временных ограничений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При разработке процесса следует учитывать следующие аспекты</w:t>
      </w:r>
      <w:r>
        <w:rPr>
          <w:rFonts w:ascii="Trebuchet MS"/>
          <w:rtl w:val="0"/>
          <w:lang w:val="ru-RU"/>
        </w:rPr>
        <w:t>:</w:t>
      </w:r>
    </w:p>
    <w:p>
      <w:pPr>
        <w:pStyle w:val="Текстовый блок"/>
        <w:spacing w:after="0"/>
        <w:ind w:left="720" w:hanging="360"/>
        <w:jc w:val="both"/>
        <w:rPr>
          <w:rFonts w:ascii="Calibri" w:cs="Calibri" w:hAnsi="Calibri" w:eastAsia="Calibri"/>
          <w:b w:val="1"/>
          <w:bCs w:val="1"/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Группы заинтересованных сторон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</w:p>
    <w:p>
      <w:pPr>
        <w:pStyle w:val="Текстовый блок"/>
        <w:spacing w:after="0"/>
        <w:ind w:left="1440" w:hanging="360"/>
        <w:jc w:val="both"/>
        <w:rPr>
          <w:lang w:val="ru-RU"/>
        </w:rPr>
      </w:pPr>
      <w:r>
        <w:rPr>
          <w:rFonts w:ascii="Courier New"/>
          <w:rtl w:val="0"/>
          <w:lang w:val="ru-RU"/>
        </w:rPr>
        <w:t>o</w:t>
        <w:tab/>
      </w:r>
      <w:r>
        <w:rPr>
          <w:rFonts w:hAnsi="Trebuchet MS" w:hint="default"/>
          <w:rtl w:val="0"/>
          <w:lang w:val="ru-RU"/>
        </w:rPr>
        <w:t>Правительство</w:t>
      </w:r>
      <w:r>
        <w:rPr>
          <w:rFonts w:ascii="Trebuchet MS"/>
          <w:rtl w:val="0"/>
          <w:lang w:val="ru-RU"/>
        </w:rPr>
        <w:t xml:space="preserve">: </w:t>
      </w:r>
      <w:r>
        <w:rPr>
          <w:rFonts w:hAnsi="Trebuchet MS" w:hint="default"/>
          <w:rtl w:val="0"/>
          <w:lang w:val="ru-RU"/>
        </w:rPr>
        <w:t>представители основного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ых</w:t>
      </w:r>
      <w:r>
        <w:rPr>
          <w:rFonts w:ascii="Trebuchet MS"/>
          <w:rtl w:val="0"/>
          <w:lang w:val="ru-RU"/>
        </w:rPr>
        <w:t xml:space="preserve">) </w:t>
      </w:r>
      <w:r>
        <w:rPr>
          <w:rFonts w:hAnsi="Trebuchet MS" w:hint="default"/>
          <w:rtl w:val="0"/>
          <w:lang w:val="ru-RU"/>
        </w:rPr>
        <w:t>министерства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министерств</w:t>
      </w:r>
      <w:r>
        <w:rPr>
          <w:rFonts w:ascii="Trebuchet MS"/>
          <w:rtl w:val="0"/>
          <w:lang w:val="ru-RU"/>
        </w:rPr>
        <w:t xml:space="preserve">), </w:t>
      </w:r>
      <w:r>
        <w:rPr>
          <w:rFonts w:hAnsi="Trebuchet MS" w:hint="default"/>
          <w:rtl w:val="0"/>
          <w:lang w:val="ru-RU"/>
        </w:rPr>
        <w:t>отвечающего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их</w:t>
      </w:r>
      <w:r>
        <w:rPr>
          <w:rFonts w:ascii="Trebuchet MS"/>
          <w:rtl w:val="0"/>
          <w:lang w:val="ru-RU"/>
        </w:rPr>
        <w:t xml:space="preserve">) </w:t>
      </w:r>
      <w:r>
        <w:rPr>
          <w:rFonts w:hAnsi="Trebuchet MS" w:hint="default"/>
          <w:rtl w:val="0"/>
          <w:lang w:val="ru-RU"/>
        </w:rPr>
        <w:t>за водные ресурсы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также других министерств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связанных с водными ресурсами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например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сельского хозяйства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энергетики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окружающей среды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туризма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городского планирования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финансов</w:t>
      </w:r>
      <w:r>
        <w:rPr>
          <w:rFonts w:ascii="Trebuchet MS"/>
          <w:rtl w:val="0"/>
          <w:lang w:val="ru-RU"/>
        </w:rPr>
        <w:t>).</w:t>
      </w:r>
    </w:p>
    <w:p>
      <w:pPr>
        <w:pStyle w:val="Текстовый блок"/>
        <w:spacing w:after="0"/>
        <w:ind w:left="1440" w:hanging="360"/>
        <w:jc w:val="both"/>
        <w:rPr>
          <w:lang w:val="ru-RU"/>
        </w:rPr>
      </w:pPr>
      <w:r>
        <w:rPr>
          <w:rFonts w:ascii="Courier New"/>
          <w:rtl w:val="0"/>
          <w:lang w:val="ru-RU"/>
        </w:rPr>
        <w:t>o</w:t>
        <w:tab/>
      </w:r>
      <w:r>
        <w:rPr>
          <w:rFonts w:hAnsi="Trebuchet MS" w:hint="default"/>
          <w:rtl w:val="0"/>
          <w:lang w:val="ru-RU"/>
        </w:rPr>
        <w:t>Уровень бассейнов и водоносных горизонтов</w:t>
      </w:r>
      <w:r>
        <w:rPr>
          <w:rFonts w:ascii="Trebuchet MS"/>
          <w:rtl w:val="0"/>
          <w:lang w:val="ru-RU"/>
        </w:rPr>
        <w:t xml:space="preserve">: </w:t>
      </w:r>
      <w:r>
        <w:rPr>
          <w:rFonts w:hAnsi="Trebuchet MS" w:hint="default"/>
          <w:rtl w:val="0"/>
          <w:lang w:val="ru-RU"/>
        </w:rPr>
        <w:t>например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организации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отвечающие за управление водными ресурсами в бассейнах рек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озер или на водоносном горизонте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spacing w:after="0"/>
        <w:ind w:left="1440" w:hanging="360"/>
        <w:jc w:val="both"/>
        <w:rPr>
          <w:lang w:val="ru-RU"/>
        </w:rPr>
      </w:pPr>
      <w:r>
        <w:rPr>
          <w:rFonts w:ascii="Courier New"/>
          <w:rtl w:val="0"/>
          <w:lang w:val="ru-RU"/>
        </w:rPr>
        <w:t>o</w:t>
        <w:tab/>
      </w:r>
      <w:r>
        <w:rPr>
          <w:rFonts w:hAnsi="Trebuchet MS" w:hint="default"/>
          <w:rtl w:val="0"/>
          <w:lang w:val="ru-RU"/>
        </w:rPr>
        <w:t>Другие заинтересованные стороны</w:t>
      </w:r>
      <w:r>
        <w:rPr>
          <w:rFonts w:ascii="Trebuchet MS"/>
          <w:rtl w:val="0"/>
          <w:lang w:val="ru-RU"/>
        </w:rPr>
        <w:t xml:space="preserve">: </w:t>
      </w:r>
      <w:r>
        <w:rPr>
          <w:rFonts w:hAnsi="Trebuchet MS" w:hint="default"/>
          <w:rtl w:val="0"/>
          <w:lang w:val="ru-RU"/>
        </w:rPr>
        <w:t>группы сообществ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ассоциации водопользователей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частный сектор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научные круги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НПО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природоохранные организации и специалисты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практики по управлению водными ресурсами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spacing w:after="0"/>
        <w:ind w:left="720" w:hanging="360"/>
        <w:jc w:val="both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Процесс привлечения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hAnsi="Trebuchet MS" w:hint="default"/>
          <w:rtl w:val="0"/>
          <w:lang w:val="ru-RU"/>
        </w:rPr>
        <w:t xml:space="preserve"> тематические семинары в сочетании с обменом электронными письмами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телефонными звонками и другими совещаниями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вероятно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дадут самые надежные результаты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Необходимо учитывать количество семинаров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место их проведения внутри страны и представленность заинтересованных сторон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в том числе соображения гендерного равенства и представленность меньшинств</w:t>
      </w:r>
      <w:r>
        <w:rPr>
          <w:rFonts w:ascii="Trebuchet MS"/>
          <w:rtl w:val="0"/>
          <w:lang w:val="ru-RU"/>
        </w:rPr>
        <w:t>/</w:t>
      </w:r>
      <w:r>
        <w:rPr>
          <w:rFonts w:hAnsi="Trebuchet MS" w:hint="default"/>
          <w:rtl w:val="0"/>
          <w:lang w:val="ru-RU"/>
        </w:rPr>
        <w:t>групп населения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находящихся  в неблагоприятном положении</w:t>
      </w:r>
      <w:r>
        <w:rPr>
          <w:rFonts w:ascii="Trebuchet MS"/>
          <w:rtl w:val="0"/>
          <w:lang w:val="ru-RU"/>
        </w:rPr>
        <w:t>).</w:t>
      </w:r>
    </w:p>
    <w:p>
      <w:pPr>
        <w:pStyle w:val="Текстовый блок"/>
        <w:spacing w:after="0"/>
        <w:ind w:left="720" w:hanging="360"/>
        <w:jc w:val="both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Подготовка ответов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hAnsi="Trebuchet MS" w:hint="default"/>
          <w:rtl w:val="0"/>
          <w:lang w:val="ru-RU"/>
        </w:rPr>
        <w:t xml:space="preserve"> в зависимости от процесса привлечения ответы могут даваться последовательно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параллельно или в сочетании этих двух подходов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При последовательном подходе могут заполняться последовательные проекты вопросника при участии различных групп заинтересованных сторон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Например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первый проект может заполняться несколькими ключевыми правительственными учреждениями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второй — более широкой группой правительственных учреждений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третий — другими группами заинтересованных сторон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При параллельном подходе различным группам заинтересованных сторон предлагается заполнить бланк вопросника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Различные ответы следует объединить в один окончательный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Это может быть сделано на одном или более тематических семинарах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консенсус достигнут в процессе обсуждения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spacing w:after="0"/>
        <w:ind w:left="720" w:hanging="360"/>
        <w:jc w:val="both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Механизмы привлечения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ru-RU"/>
        </w:rPr>
        <w:t>внутри страны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hAnsi="Trebuchet MS" w:hint="default"/>
          <w:rtl w:val="0"/>
          <w:lang w:val="ru-RU"/>
        </w:rPr>
        <w:t xml:space="preserve"> «ООН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 xml:space="preserve">Окружающая» среда рассылает вопросник координаторам по КУВР в двух форматах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одинакового содержания</w:t>
      </w:r>
      <w:r>
        <w:rPr>
          <w:rFonts w:ascii="Trebuchet MS"/>
          <w:rtl w:val="0"/>
          <w:lang w:val="ru-RU"/>
        </w:rPr>
        <w:t>):</w:t>
      </w:r>
    </w:p>
    <w:p>
      <w:pPr>
        <w:pStyle w:val="Текстовый блок"/>
        <w:ind w:left="1440" w:hanging="360"/>
        <w:rPr>
          <w:lang w:val="ru-RU"/>
        </w:rPr>
      </w:pPr>
      <w:r>
        <w:rPr>
          <w:rFonts w:ascii="Courier New"/>
          <w:rtl w:val="0"/>
          <w:lang w:val="ru-RU"/>
        </w:rPr>
        <w:t>o</w:t>
        <w:tab/>
      </w:r>
      <w:r>
        <w:rPr>
          <w:rFonts w:hAnsi="Trebuchet MS" w:hint="default"/>
          <w:rtl w:val="0"/>
          <w:lang w:val="ru-RU"/>
        </w:rPr>
        <w:t xml:space="preserve">в формате </w:t>
      </w:r>
      <w:r>
        <w:rPr>
          <w:rFonts w:ascii="Trebuchet MS"/>
          <w:rtl w:val="0"/>
          <w:lang w:val="ru-RU"/>
        </w:rPr>
        <w:t>Microsoft Word</w:t>
      </w:r>
    </w:p>
    <w:p>
      <w:pPr>
        <w:pStyle w:val="Текстовый блок"/>
        <w:ind w:left="1440" w:hanging="360"/>
        <w:rPr>
          <w:lang w:val="ru-RU"/>
        </w:rPr>
      </w:pPr>
      <w:r>
        <w:rPr>
          <w:rFonts w:ascii="Courier New"/>
          <w:rtl w:val="0"/>
          <w:lang w:val="ru-RU"/>
        </w:rPr>
        <w:t>o</w:t>
        <w:tab/>
      </w:r>
      <w:r>
        <w:rPr>
          <w:rFonts w:hAnsi="Trebuchet MS" w:hint="default"/>
          <w:rtl w:val="0"/>
          <w:lang w:val="ru-RU"/>
        </w:rPr>
        <w:t xml:space="preserve">в формате онлайнового вопросника в </w:t>
      </w:r>
      <w:r>
        <w:rPr>
          <w:rFonts w:ascii="Trebuchet MS"/>
          <w:rtl w:val="0"/>
          <w:lang w:val="ru-RU"/>
        </w:rPr>
        <w:t xml:space="preserve">SurveyMonkey, </w:t>
      </w:r>
      <w:r>
        <w:rPr>
          <w:rFonts w:hAnsi="Trebuchet MS" w:hint="default"/>
          <w:rtl w:val="0"/>
          <w:lang w:val="ru-RU"/>
        </w:rPr>
        <w:t xml:space="preserve">доступного по запросу при наличии ресурсов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см</w:t>
      </w:r>
      <w:r>
        <w:rPr>
          <w:rFonts w:ascii="Trebuchet MS"/>
          <w:rtl w:val="0"/>
          <w:lang w:val="ru-RU"/>
        </w:rPr>
        <w:t>.</w:t>
      </w:r>
      <w:r>
        <w:rPr>
          <w:rFonts w:hAnsi="Trebuchet MS" w:hint="default"/>
          <w:rtl w:val="0"/>
          <w:lang w:val="ru-RU"/>
        </w:rPr>
        <w:t> Раздел </w:t>
      </w:r>
      <w:r>
        <w:rPr>
          <w:rFonts w:ascii="Trebuchet MS"/>
          <w:rtl w:val="0"/>
          <w:lang w:val="ru-RU"/>
        </w:rPr>
        <w:t xml:space="preserve">6 </w:t>
      </w:r>
      <w:r>
        <w:rPr>
          <w:rFonts w:hAnsi="Trebuchet MS" w:hint="default"/>
          <w:rtl w:val="0"/>
          <w:lang w:val="ru-RU"/>
        </w:rPr>
        <w:t>Служба поддержки</w:t>
      </w:r>
      <w:r>
        <w:rPr>
          <w:rFonts w:ascii="Trebuchet MS"/>
          <w:rtl w:val="0"/>
          <w:lang w:val="ru-RU"/>
        </w:rPr>
        <w:t xml:space="preserve">). SurveyMonkey </w:t>
      </w:r>
      <w:r>
        <w:rPr>
          <w:rFonts w:hAnsi="Trebuchet MS" w:hint="default"/>
          <w:rtl w:val="0"/>
          <w:lang w:val="ru-RU"/>
        </w:rPr>
        <w:t>позволяет ответить на вопросник широкому кругу заинтересованных сторон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также помогает провести анализ разброса ответов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Опыт работы с </w:t>
      </w:r>
      <w:r>
        <w:rPr>
          <w:rFonts w:ascii="Trebuchet MS"/>
          <w:rtl w:val="0"/>
          <w:lang w:val="ru-RU"/>
        </w:rPr>
        <w:t xml:space="preserve">SurveyMonkey </w:t>
      </w:r>
      <w:r>
        <w:rPr>
          <w:rFonts w:hAnsi="Trebuchet MS" w:hint="default"/>
          <w:rtl w:val="0"/>
          <w:lang w:val="ru-RU"/>
        </w:rPr>
        <w:t>мог бы быть полезен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ind w:left="709" w:firstLine="0"/>
        <w:rPr>
          <w:lang w:val="ru-RU"/>
        </w:rPr>
      </w:pPr>
      <w:r>
        <w:rPr>
          <w:rFonts w:hAnsi="Trebuchet MS" w:hint="default"/>
          <w:rtl w:val="0"/>
          <w:lang w:val="ru-RU"/>
        </w:rPr>
        <w:t xml:space="preserve">Координатор по КУВР отвечает за работу с различными результатами заполнения вопросника и за получение окончательного результата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 xml:space="preserve">в зависимости от процессов привлечения и подготовки ответов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см</w:t>
      </w:r>
      <w:r>
        <w:rPr>
          <w:rFonts w:ascii="Trebuchet MS"/>
          <w:rtl w:val="0"/>
          <w:lang w:val="ru-RU"/>
        </w:rPr>
        <w:t>.</w:t>
      </w:r>
      <w:r>
        <w:rPr>
          <w:rFonts w:hAnsi="Trebuchet MS" w:hint="default"/>
          <w:rtl w:val="0"/>
          <w:lang w:val="ru-RU"/>
        </w:rPr>
        <w:t> выше</w:t>
      </w:r>
      <w:r>
        <w:rPr>
          <w:rFonts w:ascii="Trebuchet MS"/>
          <w:rtl w:val="0"/>
          <w:lang w:val="ru-RU"/>
        </w:rPr>
        <w:t xml:space="preserve">)). </w:t>
      </w:r>
      <w:r>
        <w:rPr>
          <w:rFonts w:hAnsi="Trebuchet MS" w:hint="default"/>
          <w:rtl w:val="0"/>
          <w:lang w:val="ru-RU"/>
        </w:rPr>
        <w:t xml:space="preserve">Знание программы </w:t>
      </w:r>
      <w:r>
        <w:rPr>
          <w:rFonts w:ascii="Trebuchet MS"/>
          <w:rtl w:val="0"/>
          <w:lang w:val="ru-RU"/>
        </w:rPr>
        <w:t xml:space="preserve">Microsoft Excel </w:t>
      </w:r>
      <w:r>
        <w:rPr>
          <w:rFonts w:hAnsi="Trebuchet MS" w:hint="default"/>
          <w:rtl w:val="0"/>
          <w:lang w:val="ru-RU"/>
        </w:rPr>
        <w:t>будет являться преимуществом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поскольку она может быть использована для анализа всего диапазона ответов на каждый вопрос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также каждого раздела и общего количества баллов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 случае широкого разброса ответов может потребоваться больше времени для анализа различных ответов и достижения консенсуса в отношении окончательного результата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spacing w:after="0"/>
        <w:ind w:left="720" w:hanging="360"/>
        <w:jc w:val="both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Язык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hAnsi="Trebuchet MS" w:hint="default"/>
          <w:rtl w:val="0"/>
          <w:lang w:val="ru-RU"/>
        </w:rPr>
        <w:t xml:space="preserve"> данное пошаговое руководство и вопросник доступны в «ООН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 xml:space="preserve">Окружающая среда» на шести официальных языках ООН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английском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арабском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испанском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китайском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русском и французском</w:t>
      </w:r>
      <w:r>
        <w:rPr>
          <w:rFonts w:ascii="Trebuchet MS"/>
          <w:rtl w:val="0"/>
          <w:lang w:val="ru-RU"/>
        </w:rPr>
        <w:t xml:space="preserve">). </w:t>
      </w:r>
    </w:p>
    <w:p>
      <w:pPr>
        <w:pStyle w:val="Текстовый блок"/>
        <w:rPr>
          <w:lang w:val="ru-RU"/>
        </w:rPr>
      </w:pPr>
      <w:r>
        <w:rPr>
          <w:rtl w:val="0"/>
          <w:lang w:val="ru-RU"/>
        </w:rPr>
        <mc:AlternateContent>
          <mc:Choice Requires="wpg">
            <w:drawing>
              <wp:inline distT="0" distB="0" distL="0" distR="0">
                <wp:extent cx="5829300" cy="3125471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125471"/>
                          <a:chOff x="0" y="0"/>
                          <a:chExt cx="5829300" cy="312547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829300" cy="31254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829300" cy="31254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Текстовый блок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rtl w:val="0"/>
                                  <w:lang w:val="ru-RU"/>
                                </w:rPr>
                                <w:t xml:space="preserve">Вставка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rtl w:val="0"/>
                                  <w:lang w:val="ru-RU"/>
                                </w:rPr>
                                <w:t xml:space="preserve">1: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rtl w:val="0"/>
                                  <w:lang w:val="ru-RU"/>
                                </w:rPr>
                                <w:t xml:space="preserve">Вдохновляющий опыт Уганды при проведении пилотного проекта </w:t>
                              </w:r>
                            </w:p>
                            <w:p>
                              <w:pPr>
                                <w:pStyle w:val="Текстовый блок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>Координацию национального процесса осуществлял Директорат по вопросам управления водными ресурсами Министерства водных ресурсов и окружающей среды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. </w:t>
                              </w:r>
                            </w:p>
                            <w:p>
                              <w:pPr>
                                <w:pStyle w:val="Текстовый блок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Этап 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1: 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>учреждена целевая группа с участием представителей широкого диапазона секторов и заинтересованных сторон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. </w:t>
                              </w:r>
                            </w:p>
                            <w:p>
                              <w:pPr>
                                <w:pStyle w:val="Текстовый блок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Этап 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2: 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>заполнение вопросника рядом заинтересованных сторон при проведении официальных и неофициальных консультаций с использованием электронной почты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>телефонной связи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>а также посредством заполнения от руки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. </w:t>
                              </w:r>
                            </w:p>
                            <w:p>
                              <w:pPr>
                                <w:pStyle w:val="Текстовый блок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Этап 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3: 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>результаты заполнения различных вопросников собраны и проанализированы целевой группой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>включая весь спектр ответов на отдельные вопросы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. </w:t>
                              </w:r>
                            </w:p>
                            <w:p>
                              <w:pPr>
                                <w:pStyle w:val="Текстовый блок"/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Этап 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4: 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>проведен масштабный семинар с участием большого числа заинтересованных сторон для обсуждения результатов и достижения консенсуса по окончательному результату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ru-RU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59.0pt;height:246.1pt;" coordorigin="0,0" coordsize="5829300,3125470">
                <v:rect id="_x0000_s1027" style="position:absolute;left:0;top:0;width:5829300;height:312547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5829300;height:31254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Текстовый блок"/>
                          <w:rPr>
                            <w:rFonts w:ascii="Calibri" w:cs="Calibri" w:hAnsi="Calibri" w:eastAsia="Calibri"/>
                            <w:b w:val="1"/>
                            <w:bCs w:val="1"/>
                            <w:lang w:val="ru-RU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rtl w:val="0"/>
                            <w:lang w:val="ru-RU"/>
                          </w:rPr>
                          <w:t xml:space="preserve">Вставка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rtl w:val="0"/>
                            <w:lang w:val="ru-RU"/>
                          </w:rPr>
                          <w:t xml:space="preserve">1: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rtl w:val="0"/>
                            <w:lang w:val="ru-RU"/>
                          </w:rPr>
                          <w:t xml:space="preserve">Вдохновляющий опыт Уганды при проведении пилотного проекта </w:t>
                        </w:r>
                      </w:p>
                      <w:p>
                        <w:pPr>
                          <w:pStyle w:val="Текстовый блок"/>
                          <w:rPr>
                            <w:lang w:val="ru-RU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>Координацию национального процесса осуществлял Директорат по вопросам управления водными ресурсами Министерства водных ресурсов и окружающей среды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. </w:t>
                        </w:r>
                      </w:p>
                      <w:p>
                        <w:pPr>
                          <w:pStyle w:val="Текстовый блок"/>
                          <w:rPr>
                            <w:lang w:val="ru-RU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Этап 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1: 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>учреждена целевая группа с участием представителей широкого диапазона секторов и заинтересованных сторон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. </w:t>
                        </w:r>
                      </w:p>
                      <w:p>
                        <w:pPr>
                          <w:pStyle w:val="Текстовый блок"/>
                          <w:rPr>
                            <w:lang w:val="ru-RU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Этап 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2: 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>заполнение вопросника рядом заинтересованных сторон при проведении официальных и неофициальных консультаций с использованием электронной почты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>телефонной связи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>а также посредством заполнения от руки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. </w:t>
                        </w:r>
                      </w:p>
                      <w:p>
                        <w:pPr>
                          <w:pStyle w:val="Текстовый блок"/>
                          <w:rPr>
                            <w:lang w:val="ru-RU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Этап 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3: 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>результаты заполнения различных вопросников собраны и проанализированы целевой группой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>включая весь спектр ответов на отдельные вопросы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. </w:t>
                        </w:r>
                      </w:p>
                      <w:p>
                        <w:pPr>
                          <w:pStyle w:val="Текстовый блок"/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Этап 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4: 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>проведен масштабный семинар с участием большого числа заинтересованных сторон для обсуждения результатов и достижения консенсуса по окончательному результату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ru-RU"/>
                          </w:rPr>
                          <w:t xml:space="preserve">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List Paragraph"/>
        <w:rPr>
          <w:color w:val="000000"/>
          <w:u w:color="000000"/>
          <w:lang w:val="ru-RU"/>
        </w:rPr>
      </w:pPr>
    </w:p>
    <w:p>
      <w:pPr>
        <w:pStyle w:val="Заголовок 2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2.3</w:t>
        <w:tab/>
      </w:r>
      <w:r>
        <w:rPr>
          <w:rFonts w:ascii="Calibri" w:cs="Calibri" w:hAnsi="Calibri" w:eastAsia="Calibri"/>
          <w:rtl w:val="0"/>
          <w:lang w:val="ru-RU"/>
        </w:rPr>
        <w:t>Рекомендации по пространственному и временно</w:t>
      </w:r>
      <w:r>
        <w:rPr>
          <w:rFonts w:ascii="Calibri" w:cs="Calibri" w:hAnsi="Calibri" w:eastAsia="Calibri"/>
          <w:rtl w:val="0"/>
          <w:lang w:val="ru-RU"/>
        </w:rPr>
        <w:t>́</w:t>
      </w:r>
      <w:r>
        <w:rPr>
          <w:rFonts w:ascii="Calibri" w:cs="Calibri" w:hAnsi="Calibri" w:eastAsia="Calibri"/>
          <w:rtl w:val="0"/>
          <w:lang w:val="ru-RU"/>
        </w:rPr>
        <w:t>му охвату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Пространственный охват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  <w:r>
        <w:rPr>
          <w:rFonts w:ascii="Calibri" w:cs="Calibri" w:hAnsi="Calibri" w:eastAsia="Calibri"/>
          <w:rtl w:val="0"/>
          <w:lang w:val="ru-RU"/>
        </w:rPr>
        <w:t>каждый раздел вопросника состоит из двух подразделов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первый охватывает национальный уровень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второй — другие уровни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включая субнациональный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уровень бассейна</w:t>
      </w:r>
      <w:r>
        <w:rPr>
          <w:rFonts w:ascii="Calibri" w:cs="Calibri" w:hAnsi="Calibri" w:eastAsia="Calibri"/>
          <w:rtl w:val="0"/>
          <w:lang w:val="ru-RU"/>
        </w:rPr>
        <w:t>/</w:t>
      </w:r>
      <w:r>
        <w:rPr>
          <w:rFonts w:ascii="Calibri" w:cs="Calibri" w:hAnsi="Calibri" w:eastAsia="Calibri"/>
          <w:rtl w:val="0"/>
          <w:lang w:val="ru-RU"/>
        </w:rPr>
        <w:t>водоносного горизонта и трансграничный уровень в соответствующих случаях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Пространственный охват вопросов национального уровня относительно прост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Он усложняется в случае федеральных государств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где ответственность за управление водными ресурсами может разделяться между национальными властями и провинциями или штатами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Тем не менее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вопросы национального уровня также относятся и к федеральным государствам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Два дополнительных вопроса введены исключительно для федеральных государств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Ответы на вопросы категории «на всех уровнях» крайне важны для представления полной картины осуществления КУВР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Вопросы категории «на всех уровнях» охватывают как степень осуществления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так и различные административные или географические уровни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 тексте содержится руководство для каждого из шести пороговых показателей по каждому вопросу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Временно́й охват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ascii="Calibri" w:cs="Calibri" w:hAnsi="Calibri" w:eastAsia="Calibri"/>
          <w:rtl w:val="0"/>
          <w:lang w:val="ru-RU"/>
        </w:rPr>
        <w:t xml:space="preserve"> предлагается трехлетний цикл отчетности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Текстовый блок"/>
        <w:rPr>
          <w:lang w:val="ru-RU"/>
        </w:rPr>
      </w:pPr>
    </w:p>
    <w:p>
      <w:pPr>
        <w:pStyle w:val="Текстовый блок"/>
        <w:rPr>
          <w:lang w:val="ru-RU"/>
        </w:rPr>
      </w:pPr>
    </w:p>
    <w:p>
      <w:pPr>
        <w:pStyle w:val="Текстовый блок"/>
        <w:rPr>
          <w:lang w:val="ru-RU"/>
        </w:rPr>
      </w:pPr>
    </w:p>
    <w:p>
      <w:pPr>
        <w:pStyle w:val="Заголов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3.</w:t>
        <w:tab/>
      </w:r>
      <w:r>
        <w:rPr>
          <w:rFonts w:ascii="Calibri" w:cs="Calibri" w:hAnsi="Calibri" w:eastAsia="Calibri"/>
          <w:rtl w:val="0"/>
          <w:lang w:val="ru-RU"/>
        </w:rPr>
        <w:t>Источники и сбор данных</w:t>
      </w:r>
    </w:p>
    <w:p>
      <w:pPr>
        <w:pStyle w:val="Заголовок 2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3.1</w:t>
        <w:tab/>
      </w:r>
      <w:r>
        <w:rPr>
          <w:rFonts w:ascii="Calibri" w:cs="Calibri" w:hAnsi="Calibri" w:eastAsia="Calibri"/>
          <w:rtl w:val="0"/>
          <w:lang w:val="ru-RU"/>
        </w:rPr>
        <w:t>Источники данных — краткосрочных и долгосрочных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Ожидается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информация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необходимая для заполнения вопросника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имеется у представителей органов власти и ряда других заинтересованных сторон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 учетом специфики отдельных стран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Респондентам настоятельно рекомендуется добавлять обоснование выставленных баллов в отведенных для этого после каждого вопроса местах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Это значительно повысит надежность и объективность ответов на вопросник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Это поможет различным группам заинтересованных сторон в стране достичь консенсуса при ответах на каждый вопрос</w:t>
      </w:r>
      <w:r>
        <w:rPr>
          <w:rFonts w:ascii="Calibri" w:cs="Calibri" w:hAnsi="Calibri" w:eastAsia="Calibri"/>
          <w:rtl w:val="0"/>
          <w:lang w:val="ru-RU"/>
        </w:rPr>
        <w:t xml:space="preserve">; </w:t>
      </w:r>
      <w:r>
        <w:rPr>
          <w:rFonts w:ascii="Calibri" w:cs="Calibri" w:hAnsi="Calibri" w:eastAsia="Calibri"/>
          <w:rtl w:val="0"/>
          <w:lang w:val="ru-RU"/>
        </w:rPr>
        <w:t>поможет странам проанализировать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необходимо для достижения следующего порогового показателя</w:t>
      </w:r>
      <w:r>
        <w:rPr>
          <w:rFonts w:ascii="Calibri" w:cs="Calibri" w:hAnsi="Calibri" w:eastAsia="Calibri"/>
          <w:rtl w:val="0"/>
          <w:lang w:val="ru-RU"/>
        </w:rPr>
        <w:t xml:space="preserve">; </w:t>
      </w:r>
      <w:r>
        <w:rPr>
          <w:rFonts w:ascii="Calibri" w:cs="Calibri" w:hAnsi="Calibri" w:eastAsia="Calibri"/>
          <w:rtl w:val="0"/>
          <w:lang w:val="ru-RU"/>
        </w:rPr>
        <w:t>будет содействовать в отслеживании странами прогресса во времени и позволит унифицировать степень осуществления в различных странах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Текстовый блок"/>
        <w:spacing w:after="0"/>
        <w:rPr>
          <w:lang w:val="ru-RU"/>
        </w:rPr>
      </w:pPr>
      <w:r>
        <w:rPr>
          <w:rFonts w:hAnsi="Trebuchet MS" w:hint="default"/>
          <w:rtl w:val="0"/>
          <w:lang w:val="ru-RU"/>
        </w:rPr>
        <w:t>Странам также предлагается представлять дополнительную соответствующую информацию или ссылки на дополнительную документацию в местах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отведенных после каждого вопроса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Обратите внимание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при выборе «очень высокая» или «н</w:t>
      </w:r>
      <w:r>
        <w:rPr>
          <w:rFonts w:ascii="Trebuchet MS"/>
          <w:rtl w:val="0"/>
          <w:lang w:val="ru-RU"/>
        </w:rPr>
        <w:t>/</w:t>
      </w:r>
      <w:r>
        <w:rPr>
          <w:rFonts w:hAnsi="Trebuchet MS" w:hint="default"/>
          <w:rtl w:val="0"/>
          <w:lang w:val="ru-RU"/>
        </w:rPr>
        <w:t xml:space="preserve">п»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не применимо</w:t>
      </w:r>
      <w:r>
        <w:rPr>
          <w:rFonts w:ascii="Trebuchet MS"/>
          <w:rtl w:val="0"/>
          <w:lang w:val="ru-RU"/>
        </w:rPr>
        <w:t xml:space="preserve">) </w:t>
      </w:r>
      <w:r>
        <w:rPr>
          <w:rFonts w:hAnsi="Trebuchet MS" w:hint="default"/>
          <w:rtl w:val="0"/>
          <w:lang w:val="ru-RU"/>
        </w:rPr>
        <w:t>при ответе на какой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либо из вопросов респондентов просят представить краткое обоснование такого ответа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Результаты вопросника и соответствующие обоснования будут собраны координатором по КУВР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см</w:t>
      </w:r>
      <w:r>
        <w:rPr>
          <w:rFonts w:ascii="Trebuchet MS"/>
          <w:rtl w:val="0"/>
          <w:lang w:val="ru-RU"/>
        </w:rPr>
        <w:t>.</w:t>
      </w:r>
      <w:r>
        <w:rPr>
          <w:rFonts w:hAnsi="Trebuchet MS" w:hint="default"/>
          <w:rtl w:val="0"/>
          <w:lang w:val="ru-RU"/>
        </w:rPr>
        <w:t> раздел </w:t>
      </w:r>
      <w:r>
        <w:rPr>
          <w:rFonts w:ascii="Trebuchet MS"/>
          <w:rtl w:val="0"/>
          <w:lang w:val="ru-RU"/>
        </w:rPr>
        <w:t xml:space="preserve">2.2 </w:t>
      </w:r>
      <w:r>
        <w:rPr>
          <w:rFonts w:hAnsi="Trebuchet MS" w:hint="default"/>
          <w:rtl w:val="0"/>
          <w:lang w:val="ru-RU"/>
        </w:rPr>
        <w:t>выше</w:t>
      </w:r>
      <w:r>
        <w:rPr>
          <w:rFonts w:ascii="Trebuchet MS"/>
          <w:rtl w:val="0"/>
          <w:lang w:val="ru-RU"/>
        </w:rPr>
        <w:t xml:space="preserve">) </w:t>
      </w:r>
      <w:r>
        <w:rPr>
          <w:rFonts w:hAnsi="Trebuchet MS" w:hint="default"/>
          <w:rtl w:val="0"/>
          <w:lang w:val="ru-RU"/>
        </w:rPr>
        <w:t>и будут также доступны для стран через централизованную систему отчетности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Эта справочная информация будет очень важна в будущем при повторном проведении мониторинга</w:t>
      </w:r>
      <w:r>
        <w:rPr>
          <w:rFonts w:ascii="Trebuchet MS"/>
          <w:rtl w:val="0"/>
          <w:lang w:val="ru-RU"/>
        </w:rPr>
        <w:t>.</w:t>
      </w:r>
    </w:p>
    <w:p>
      <w:pPr>
        <w:pStyle w:val="Текстовый блок"/>
        <w:spacing w:before="0" w:after="0" w:line="240" w:lineRule="auto"/>
        <w:rPr>
          <w:lang w:val="ru-RU"/>
        </w:rPr>
      </w:pPr>
    </w:p>
    <w:p>
      <w:pPr>
        <w:pStyle w:val="Заголов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4.</w:t>
        <w:tab/>
      </w:r>
      <w:r>
        <w:rPr>
          <w:rFonts w:ascii="Calibri" w:cs="Calibri" w:hAnsi="Calibri" w:eastAsia="Calibri"/>
          <w:rtl w:val="0"/>
          <w:lang w:val="ru-RU"/>
        </w:rPr>
        <w:t>Расчет показателя</w:t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 xml:space="preserve">Ответ на каждый вопрос дается в виде баллов от </w:t>
      </w:r>
      <w:r>
        <w:rPr>
          <w:rFonts w:ascii="Calibri" w:cs="Calibri" w:hAnsi="Calibri" w:eastAsia="Calibri"/>
          <w:rtl w:val="0"/>
          <w:lang w:val="ru-RU"/>
        </w:rPr>
        <w:t xml:space="preserve">0 </w:t>
      </w:r>
      <w:r>
        <w:rPr>
          <w:rFonts w:ascii="Calibri" w:cs="Calibri" w:hAnsi="Calibri" w:eastAsia="Calibri"/>
          <w:rtl w:val="0"/>
          <w:lang w:val="ru-RU"/>
        </w:rPr>
        <w:t xml:space="preserve">до </w:t>
      </w:r>
      <w:r>
        <w:rPr>
          <w:rFonts w:ascii="Calibri" w:cs="Calibri" w:hAnsi="Calibri" w:eastAsia="Calibri"/>
          <w:rtl w:val="0"/>
          <w:lang w:val="ru-RU"/>
        </w:rPr>
        <w:t xml:space="preserve">100 </w:t>
      </w:r>
      <w:r>
        <w:rPr>
          <w:rFonts w:ascii="Calibri" w:cs="Calibri" w:hAnsi="Calibri" w:eastAsia="Calibri"/>
          <w:rtl w:val="0"/>
          <w:lang w:val="ru-RU"/>
        </w:rPr>
        <w:t xml:space="preserve">с шагом в </w:t>
      </w:r>
      <w:r>
        <w:rPr>
          <w:rFonts w:ascii="Calibri" w:cs="Calibri" w:hAnsi="Calibri" w:eastAsia="Calibri"/>
          <w:rtl w:val="0"/>
          <w:lang w:val="ru-RU"/>
        </w:rPr>
        <w:t xml:space="preserve">10 </w:t>
      </w:r>
      <w:r>
        <w:rPr>
          <w:rFonts w:ascii="Calibri" w:cs="Calibri" w:hAnsi="Calibri" w:eastAsia="Calibri"/>
          <w:rtl w:val="0"/>
          <w:lang w:val="ru-RU"/>
        </w:rPr>
        <w:t>баллов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Баллы осредняются для получения суммы баллов по каждому из четырех разделов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Ответ «не применимо»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н</w:t>
      </w:r>
      <w:r>
        <w:rPr>
          <w:rFonts w:ascii="Calibri" w:cs="Calibri" w:hAnsi="Calibri" w:eastAsia="Calibri"/>
          <w:rtl w:val="0"/>
          <w:lang w:val="ru-RU"/>
        </w:rPr>
        <w:t>/</w:t>
      </w:r>
      <w:r>
        <w:rPr>
          <w:rFonts w:ascii="Calibri" w:cs="Calibri" w:hAnsi="Calibri" w:eastAsia="Calibri"/>
          <w:rtl w:val="0"/>
          <w:lang w:val="ru-RU"/>
        </w:rPr>
        <w:t>п</w:t>
      </w:r>
      <w:r>
        <w:rPr>
          <w:rFonts w:ascii="Calibri" w:cs="Calibri" w:hAnsi="Calibri" w:eastAsia="Calibri"/>
          <w:rtl w:val="0"/>
          <w:lang w:val="ru-RU"/>
        </w:rPr>
        <w:t xml:space="preserve">) </w:t>
      </w:r>
      <w:r>
        <w:rPr>
          <w:rFonts w:ascii="Calibri" w:cs="Calibri" w:hAnsi="Calibri" w:eastAsia="Calibri"/>
          <w:rtl w:val="0"/>
          <w:lang w:val="ru-RU"/>
        </w:rPr>
        <w:t>не включается в расчет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Четыре суммы баллов по каждому разделу затем осредняются для получения балла по показателю для страны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Осредненные величины следует округлять до ближайшего целого</w:t>
      </w:r>
      <w:r>
        <w:rPr>
          <w:rFonts w:ascii="Calibri" w:cs="Calibri" w:hAnsi="Calibri" w:eastAsia="Calibri"/>
          <w:rtl w:val="0"/>
          <w:lang w:val="ru-RU"/>
        </w:rPr>
        <w:t xml:space="preserve">.  </w:t>
      </w:r>
    </w:p>
    <w:tbl>
      <w:tblPr>
        <w:tblW w:w="935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0"/>
      </w:tblGrid>
      <w:tr>
        <w:tblPrEx>
          <w:shd w:val="clear" w:color="auto" w:fill="auto"/>
        </w:tblPrEx>
        <w:trPr>
          <w:trHeight w:val="68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0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Простые этапы расчета показателя степени осуществления КУВР</w:t>
            </w:r>
          </w:p>
        </w:tc>
      </w:tr>
      <w:tr>
        <w:tblPrEx>
          <w:shd w:val="clear" w:color="auto" w:fill="auto"/>
        </w:tblPrEx>
        <w:trPr>
          <w:trHeight w:val="375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0"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Этапы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Текстовый блок"/>
              <w:spacing w:before="0"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Текстовый блок"/>
              <w:spacing w:before="0"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1)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Рассчитайте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средний балл по разделу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1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общий балл по разделу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деленный на количество вопросов в разделе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 </w:t>
            </w:r>
          </w:p>
          <w:p>
            <w:pPr>
              <w:pStyle w:val="Текстовый блок"/>
              <w:spacing w:before="0"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2)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Рассчитайте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средний балл по разделу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2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общий балл по разделу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деленный на количество вопросов в разделе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2)</w:t>
            </w:r>
          </w:p>
          <w:p>
            <w:pPr>
              <w:pStyle w:val="Текстовый блок"/>
              <w:spacing w:before="0"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3)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Рассчитайте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средний балл по разделу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3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общий балл по разделу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деленный на количество вопросов в разделе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3)</w:t>
            </w:r>
          </w:p>
          <w:p>
            <w:pPr>
              <w:pStyle w:val="Текстовый блок"/>
              <w:spacing w:before="0"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4)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Рассчитайте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средний балл по разделу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4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общий балл по разделу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деленный на количество вопросов в разделе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4)</w:t>
            </w:r>
          </w:p>
          <w:p>
            <w:pPr>
              <w:pStyle w:val="Текстовый блок"/>
              <w:spacing w:before="0"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5)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Рассчитайте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общий средний балл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это делается сложением результатов выполнения этапов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1, 2, 3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 делением полученного числа на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 </w:t>
            </w:r>
          </w:p>
          <w:p>
            <w:pPr>
              <w:pStyle w:val="Текстовый блок"/>
              <w:spacing w:before="0"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Текстовый блок"/>
              <w:spacing w:before="0"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Общий средний балл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=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 Степень национального осуществления КУВР</w:t>
            </w:r>
          </w:p>
          <w:p>
            <w:pPr>
              <w:pStyle w:val="Текстовый блок"/>
              <w:spacing w:before="0"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Текстовый блок"/>
              <w:spacing w:before="0" w:after="24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Просьба учитывать следующее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вопросы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получившие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 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ноль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баллов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должны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включаться в расчет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Однако вопросы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которые не применимы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ru-RU"/>
              </w:rPr>
              <w:t>не должны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включаться в расчет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Текстовый блок"/>
        <w:spacing w:line="240" w:lineRule="auto"/>
        <w:jc w:val="center"/>
        <w:rPr>
          <w:lang w:val="ru-RU"/>
        </w:rPr>
      </w:pPr>
    </w:p>
    <w:p>
      <w:pPr>
        <w:pStyle w:val="Заголов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5.</w:t>
        <w:tab/>
      </w:r>
      <w:r>
        <w:rPr>
          <w:rFonts w:ascii="Calibri" w:cs="Calibri" w:hAnsi="Calibri" w:eastAsia="Calibri"/>
          <w:rtl w:val="0"/>
          <w:lang w:val="ru-RU"/>
        </w:rPr>
        <w:t>представление результатов</w:t>
      </w:r>
    </w:p>
    <w:p>
      <w:pPr>
        <w:pStyle w:val="Текстовый блок"/>
        <w:spacing w:after="0" w:line="240" w:lineRule="auto"/>
        <w:ind w:left="360" w:hanging="360"/>
        <w:jc w:val="both"/>
        <w:rPr>
          <w:lang w:val="ru-RU"/>
        </w:rPr>
      </w:pPr>
      <w:r>
        <w:rPr>
          <w:rFonts w:ascii="Trebuchet MS"/>
          <w:rtl w:val="0"/>
          <w:lang w:val="ru-RU"/>
        </w:rPr>
        <w:t>1.</w:t>
        <w:tab/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Координатор по КУВР несет ответственность за представление окончательного варианта заполненного вопросника в «ООН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Окружающая среда»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Это можно сделать одним из следующих способов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содержание идентично</w:t>
      </w:r>
      <w:r>
        <w:rPr>
          <w:rFonts w:ascii="Trebuchet MS"/>
          <w:rtl w:val="0"/>
          <w:lang w:val="ru-RU"/>
        </w:rPr>
        <w:t>):</w:t>
      </w:r>
    </w:p>
    <w:p>
      <w:pPr>
        <w:pStyle w:val="List Paragraph"/>
        <w:ind w:left="360" w:firstLine="0"/>
        <w:jc w:val="both"/>
        <w:rPr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Вариант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1:</w:t>
      </w:r>
      <w:r>
        <w:rPr>
          <w:rFonts w:hAnsi="Trebuchet MS" w:hint="default"/>
          <w:rtl w:val="0"/>
          <w:lang w:val="ru-RU"/>
        </w:rPr>
        <w:t xml:space="preserve"> Заполните и отправьте онлайновую версию вопросника в </w:t>
      </w:r>
      <w:r>
        <w:rPr>
          <w:rFonts w:ascii="Trebuchet MS"/>
          <w:rtl w:val="0"/>
          <w:lang w:val="ru-RU"/>
        </w:rPr>
        <w:t xml:space="preserve">SurveyMonkey </w:t>
      </w:r>
      <w:r>
        <w:rPr>
          <w:rFonts w:hAnsi="Trebuchet MS" w:hint="default"/>
          <w:rtl w:val="0"/>
          <w:lang w:val="ru-RU"/>
        </w:rPr>
        <w:t>по ссылке</w:t>
      </w:r>
      <w:r>
        <w:rPr>
          <w:rFonts w:ascii="Trebuchet MS"/>
          <w:rtl w:val="0"/>
          <w:lang w:val="ru-RU"/>
        </w:rPr>
        <w:t xml:space="preserve">: </w:t>
      </w:r>
      <w:hyperlink r:id="rId5" w:history="1">
        <w:r>
          <w:rPr>
            <w:rStyle w:val="Hyperlink.0"/>
            <w:rFonts w:ascii="Trebuchet MS"/>
            <w:rtl w:val="0"/>
            <w:lang w:val="ru-RU"/>
          </w:rPr>
          <w:t>https://www.surveymonkey.com/r/LGLWVNH</w:t>
        </w:r>
      </w:hyperlink>
      <w:r>
        <w:rPr>
          <w:rFonts w:ascii="Trebuchet MS"/>
          <w:rtl w:val="0"/>
          <w:lang w:val="ru-RU"/>
        </w:rPr>
        <w:t xml:space="preserve"> </w:t>
      </w:r>
    </w:p>
    <w:p>
      <w:pPr>
        <w:pStyle w:val="List Paragraph"/>
        <w:ind w:left="360" w:firstLine="0"/>
        <w:jc w:val="both"/>
        <w:rPr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Вариант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2:</w:t>
      </w:r>
      <w:r>
        <w:rPr>
          <w:rFonts w:hAnsi="Trebuchet MS" w:hint="default"/>
          <w:rtl w:val="0"/>
          <w:lang w:val="fr-FR"/>
        </w:rPr>
        <w:t> </w:t>
      </w:r>
      <w:r>
        <w:rPr>
          <w:rFonts w:hAnsi="Trebuchet MS" w:hint="default"/>
          <w:rtl w:val="0"/>
          <w:lang w:val="ru-RU"/>
        </w:rPr>
        <w:t xml:space="preserve">Заполните версию вопросника в формате </w:t>
      </w:r>
      <w:r>
        <w:rPr>
          <w:rFonts w:ascii="Trebuchet MS"/>
          <w:rtl w:val="0"/>
          <w:lang w:val="ru-RU"/>
        </w:rPr>
        <w:t xml:space="preserve">Microsoft Word </w:t>
      </w:r>
      <w:r>
        <w:rPr>
          <w:rFonts w:hAnsi="Trebuchet MS" w:hint="default"/>
          <w:rtl w:val="0"/>
          <w:lang w:val="ru-RU"/>
        </w:rPr>
        <w:t xml:space="preserve">и представьте ее в службу технической поддержки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см</w:t>
      </w:r>
      <w:r>
        <w:rPr>
          <w:rFonts w:ascii="Trebuchet MS"/>
          <w:rtl w:val="0"/>
          <w:lang w:val="ru-RU"/>
        </w:rPr>
        <w:t>.</w:t>
      </w:r>
      <w:r>
        <w:rPr>
          <w:rFonts w:hAnsi="Trebuchet MS" w:hint="default"/>
          <w:rtl w:val="0"/>
          <w:lang w:val="ru-RU"/>
        </w:rPr>
        <w:t> раздел </w:t>
      </w:r>
      <w:r>
        <w:rPr>
          <w:rFonts w:ascii="Trebuchet MS"/>
          <w:rtl w:val="0"/>
          <w:lang w:val="ru-RU"/>
        </w:rPr>
        <w:t xml:space="preserve">6 </w:t>
      </w:r>
      <w:r>
        <w:rPr>
          <w:rFonts w:hAnsi="Trebuchet MS" w:hint="default"/>
          <w:rtl w:val="0"/>
          <w:lang w:val="ru-RU"/>
        </w:rPr>
        <w:t>ниже</w:t>
      </w:r>
      <w:r>
        <w:rPr>
          <w:rFonts w:ascii="Trebuchet MS"/>
          <w:rtl w:val="0"/>
          <w:lang w:val="ru-RU"/>
        </w:rPr>
        <w:t xml:space="preserve">) </w:t>
      </w:r>
      <w:r>
        <w:rPr>
          <w:rFonts w:hAnsi="Trebuchet MS" w:hint="default"/>
          <w:rtl w:val="0"/>
          <w:lang w:val="ru-RU"/>
        </w:rPr>
        <w:t>по электронной почте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ind w:left="360" w:firstLine="0"/>
        <w:jc w:val="both"/>
        <w:rPr>
          <w:lang w:val="ru-RU"/>
        </w:rPr>
      </w:pPr>
    </w:p>
    <w:p>
      <w:pPr>
        <w:pStyle w:val="Текстовый блок"/>
        <w:spacing w:after="0" w:line="240" w:lineRule="auto"/>
        <w:ind w:left="360" w:hanging="360"/>
        <w:jc w:val="both"/>
        <w:rPr>
          <w:lang w:val="ru-RU"/>
        </w:rPr>
      </w:pPr>
      <w:r>
        <w:rPr>
          <w:rFonts w:ascii="Trebuchet MS"/>
          <w:rtl w:val="0"/>
          <w:lang w:val="ru-RU"/>
        </w:rPr>
        <w:t>2.</w:t>
        <w:tab/>
      </w:r>
      <w:r>
        <w:rPr>
          <w:rFonts w:hAnsi="Trebuchet MS" w:hint="default"/>
          <w:rtl w:val="0"/>
          <w:lang w:val="ru-RU"/>
        </w:rPr>
        <w:t>«ООН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Окружающая среда» уполномочена</w:t>
      </w:r>
      <w:r>
        <w:rPr>
          <w:rFonts w:ascii="Trebuchet MS"/>
          <w:rtl w:val="0"/>
          <w:lang w:val="ru-RU"/>
        </w:rPr>
        <w:t>:</w:t>
      </w:r>
    </w:p>
    <w:p>
      <w:pPr>
        <w:pStyle w:val="Текстовый блок"/>
        <w:spacing w:after="0" w:line="240" w:lineRule="auto"/>
        <w:ind w:left="1080" w:hanging="360"/>
        <w:jc w:val="both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hAnsi="Trebuchet MS" w:hint="default"/>
          <w:rtl w:val="0"/>
          <w:lang w:val="ru-RU"/>
        </w:rPr>
        <w:t>оказывать поддержку стране проведением необходимых проверок качества</w:t>
      </w:r>
    </w:p>
    <w:p>
      <w:pPr>
        <w:pStyle w:val="Текстовый блок"/>
        <w:spacing w:before="0" w:after="0"/>
        <w:ind w:left="1077" w:hanging="357"/>
        <w:jc w:val="both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hAnsi="Trebuchet MS" w:hint="default"/>
          <w:rtl w:val="0"/>
          <w:lang w:val="ru-RU"/>
        </w:rPr>
        <w:t>сообщать данные в Статистический отдел ООН</w:t>
      </w:r>
    </w:p>
    <w:p>
      <w:pPr>
        <w:pStyle w:val="Текстовый блок"/>
        <w:spacing w:before="0" w:after="0"/>
        <w:ind w:left="1077" w:hanging="357"/>
        <w:jc w:val="both"/>
        <w:rPr>
          <w:lang w:val="ru-RU"/>
        </w:rPr>
      </w:pPr>
      <w:r>
        <w:rPr>
          <w:rFonts w:hAnsi="Symbol" w:hint="default"/>
          <w:rtl w:val="0"/>
          <w:lang w:val="ru-RU"/>
        </w:rPr>
        <w:t>•</w:t>
        <w:tab/>
      </w:r>
      <w:r>
        <w:rPr>
          <w:rFonts w:hAnsi="Trebuchet MS" w:hint="default"/>
          <w:rtl w:val="0"/>
          <w:lang w:val="ru-RU"/>
        </w:rPr>
        <w:t>подготавливать отчет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ы</w:t>
      </w:r>
      <w:r>
        <w:rPr>
          <w:rFonts w:ascii="Trebuchet MS"/>
          <w:rtl w:val="0"/>
          <w:lang w:val="ru-RU"/>
        </w:rPr>
        <w:t xml:space="preserve">) </w:t>
      </w:r>
      <w:r>
        <w:rPr>
          <w:rFonts w:hAnsi="Trebuchet MS" w:hint="default"/>
          <w:rtl w:val="0"/>
          <w:lang w:val="ru-RU"/>
        </w:rPr>
        <w:t>о глобальном положении дел</w:t>
      </w:r>
    </w:p>
    <w:p>
      <w:pPr>
        <w:pStyle w:val="Заголов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6.</w:t>
        <w:tab/>
      </w:r>
      <w:r>
        <w:rPr>
          <w:rFonts w:ascii="Calibri" w:cs="Calibri" w:hAnsi="Calibri" w:eastAsia="Calibri"/>
          <w:rtl w:val="0"/>
          <w:lang w:val="ru-RU"/>
        </w:rPr>
        <w:t>служба технической поддержки</w:t>
        <w:tab/>
      </w:r>
    </w:p>
    <w:p>
      <w:pPr>
        <w:pStyle w:val="Текстовый блок"/>
        <w:rPr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Просьба представителям правительств направлять любые вопросы и комментарии в службу технической поддержки</w:t>
      </w:r>
      <w:r>
        <w:rPr>
          <w:rFonts w:ascii="Calibri" w:cs="Calibri" w:hAnsi="Calibri" w:eastAsia="Calibri"/>
          <w:rtl w:val="0"/>
          <w:lang w:val="ru-RU"/>
        </w:rPr>
        <w:t>:</w:t>
      </w:r>
    </w:p>
    <w:p>
      <w:pPr>
        <w:pStyle w:val="List Paragraph"/>
        <w:spacing w:before="0" w:after="0"/>
        <w:ind w:left="1440" w:firstLine="0"/>
        <w:rPr>
          <w:lang w:val="ru-RU"/>
        </w:rPr>
      </w:pPr>
      <w:r>
        <w:rPr>
          <w:rFonts w:hAnsi="Trebuchet MS" w:hint="default"/>
          <w:rtl w:val="0"/>
          <w:lang w:val="ru-RU"/>
        </w:rPr>
        <w:t>Служба технической поддержки в «ООН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Окружающая среда</w:t>
      </w:r>
      <w:r>
        <w:rPr>
          <w:rFonts w:ascii="Trebuchet MS"/>
          <w:rtl w:val="0"/>
          <w:lang w:val="ru-RU"/>
        </w:rPr>
        <w:t>"</w:t>
      </w:r>
    </w:p>
    <w:p>
      <w:pPr>
        <w:pStyle w:val="List Paragraph"/>
        <w:spacing w:before="0" w:after="0"/>
        <w:ind w:left="1440" w:firstLine="0"/>
        <w:rPr>
          <w:lang w:val="ru-RU"/>
        </w:rPr>
      </w:pPr>
      <w:r>
        <w:rPr>
          <w:rFonts w:hAnsi="Trebuchet MS" w:hint="default"/>
          <w:rtl w:val="0"/>
          <w:lang w:val="ru-RU"/>
        </w:rPr>
        <w:t>Э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почта</w:t>
      </w:r>
      <w:r>
        <w:rPr>
          <w:rFonts w:ascii="Trebuchet MS"/>
          <w:rtl w:val="0"/>
          <w:lang w:val="ru-RU"/>
        </w:rPr>
        <w:t xml:space="preserve">: </w:t>
      </w:r>
      <w:hyperlink r:id="rId6" w:history="1">
        <w:r>
          <w:rPr>
            <w:rStyle w:val="Hyperlink.2"/>
            <w:rFonts w:ascii="Trebuchet MS"/>
            <w:rtl w:val="0"/>
            <w:lang w:val="en-US"/>
          </w:rPr>
          <w:t>Iwrm.Sdg6survey@unep.org</w:t>
        </w:r>
      </w:hyperlink>
      <w:r>
        <w:rPr>
          <w:rFonts w:ascii="Trebuchet MS"/>
          <w:rtl w:val="0"/>
          <w:lang w:val="ru-RU"/>
        </w:rPr>
        <w:t xml:space="preserve"> </w:t>
      </w:r>
    </w:p>
    <w:p>
      <w:pPr>
        <w:pStyle w:val="Текстовый блок"/>
        <w:spacing w:before="0" w:after="0"/>
        <w:rPr>
          <w:lang w:val="ru-RU"/>
        </w:rPr>
      </w:pPr>
    </w:p>
    <w:p>
      <w:pPr>
        <w:pStyle w:val="Текстовый блок"/>
      </w:pPr>
      <w:r>
        <w:rPr>
          <w:rFonts w:ascii="Calibri" w:cs="Calibri" w:hAnsi="Calibri" w:eastAsia="Calibri"/>
          <w:rtl w:val="0"/>
          <w:lang w:val="ru-RU"/>
        </w:rPr>
        <w:t>Служба технической поддержки может по запросу предоставить национальным координаторам по КУВР поддержку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например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 интерпретации вопросов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пороговых значений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соответствующего уровня привлечения заинтересованных сторон в странах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также по вопросам загрузки</w:t>
      </w:r>
      <w:r>
        <w:rPr>
          <w:rFonts w:ascii="Calibri" w:cs="Calibri" w:hAnsi="Calibri" w:eastAsia="Calibri"/>
          <w:rtl w:val="0"/>
          <w:lang w:val="ru-RU"/>
        </w:rPr>
        <w:t>/</w:t>
      </w:r>
      <w:r>
        <w:rPr>
          <w:rFonts w:ascii="Calibri" w:cs="Calibri" w:hAnsi="Calibri" w:eastAsia="Calibri"/>
          <w:rtl w:val="0"/>
          <w:lang w:val="ru-RU"/>
        </w:rPr>
        <w:t>представления окончательных баллов по показателям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lang w:val="ru-RU"/>
        </w:rPr>
      </w:r>
    </w:p>
    <w:sectPr>
      <w:headerReference w:type="default" r:id="rId7"/>
      <w:footerReference w:type="default" r:id="rId8"/>
      <w:pgSz w:w="12240" w:h="15840" w:orient="portrait"/>
      <w:pgMar w:top="1418" w:right="1418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  <w:rPr>
        <w:color w:val="1f497d"/>
        <w:u w:color="1f497d"/>
      </w:rPr>
    </w:pPr>
    <w:r>
      <w:rPr>
        <w:color w:val="1f497d"/>
        <w:u w:color="1f497d"/>
        <w:rtl w:val="0"/>
      </w:rPr>
      <w:fldChar w:fldCharType="begin" w:fldLock="0"/>
    </w:r>
    <w:r>
      <w:rPr>
        <w:color w:val="1f497d"/>
        <w:u w:color="1f497d"/>
        <w:rtl w:val="0"/>
      </w:rPr>
      <w:t xml:space="preserve"> PAGE </w:t>
    </w:r>
    <w:r>
      <w:rPr>
        <w:color w:val="1f497d"/>
        <w:u w:color="1f497d"/>
        <w:rtl w:val="0"/>
      </w:rPr>
      <w:fldChar w:fldCharType="separate" w:fldLock="0"/>
    </w:r>
    <w:r>
      <w:rPr>
        <w:color w:val="1f497d"/>
        <w:u w:color="1f497d"/>
        <w:rtl w:val="0"/>
      </w:rPr>
      <w:t>5</w:t>
    </w:r>
    <w:r>
      <w:rPr>
        <w:color w:val="1f497d"/>
        <w:u w:color="1f497d"/>
        <w:rtl w:val="0"/>
      </w:rPr>
      <w:fldChar w:fldCharType="end" w:fldLock="0"/>
    </w:r>
  </w:p>
  <w:p>
    <w:pPr>
      <w:pStyle w:val="No Spacing"/>
      <w:ind w:right="360"/>
    </w:pPr>
    <w:r>
      <w:rPr>
        <w:rFonts w:hAnsi="Trebuchet MS" w:hint="default"/>
        <w:color w:val="1f497d"/>
        <w:u w:color="1f497d"/>
        <w:rtl w:val="0"/>
        <w:lang w:val="en-US"/>
      </w:rPr>
      <w:t xml:space="preserve">ПОШАГОВАЯ МЕТОДОЛОГИЯ МОНИТОРИНГА ДЛЯ ПОКАЗАТЕЛЯ ЦУР </w:t>
    </w:r>
    <w:r>
      <w:rPr>
        <w:rFonts w:ascii="Trebuchet MS"/>
        <w:color w:val="1f497d"/>
        <w:u w:color="1f497d"/>
        <w:rtl w:val="0"/>
        <w:lang w:val="en-US"/>
      </w:rPr>
      <w:t>6.5.1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vertAlign w:val="superscript"/>
          <w:rtl w:val="0"/>
          <w:lang w:val="ru-RU"/>
        </w:rPr>
        <w:footnoteRef/>
      </w:r>
      <w:r>
        <w:rPr>
          <w:rFonts w:ascii="Calibri" w:cs="Calibri" w:hAnsi="Calibri" w:eastAsia="Calibri"/>
          <w:rtl w:val="0"/>
          <w:lang w:val="ru-RU"/>
        </w:rPr>
        <w:t xml:space="preserve"> Настоящий перевод не является официальным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 оригиналом документа на английском языке можно ознакомиться на веб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сайте по адресу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  <w:hyperlink r:id="rId1" w:history="1">
        <w:r>
          <w:rPr>
            <w:rStyle w:val="Hyperlink.0"/>
            <w:rFonts w:ascii="Calibri" w:cs="Calibri" w:hAnsi="Calibri" w:eastAsia="Calibri"/>
            <w:rtl w:val="0"/>
            <w:lang w:val="ru-RU"/>
          </w:rPr>
          <w:t>http://iwrmdataportal.unepdhi.org/iwrmmonitoring.html</w:t>
        </w:r>
      </w:hyperlink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 случае возникновения вопросов или комментариев просьба обращаться по адресу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  <w:hyperlink r:id="rId2" w:history="1">
        <w:r>
          <w:rPr>
            <w:rStyle w:val="Hyperlink.1"/>
            <w:rFonts w:ascii="Calibri" w:cs="Calibri" w:hAnsi="Calibri" w:eastAsia="Calibri"/>
            <w:rtl w:val="0"/>
            <w:lang w:val="de-DE"/>
          </w:rPr>
          <w:t>pkb@dhigroup.com</w:t>
        </w:r>
      </w:hyperlink>
      <w:r>
        <w:rPr>
          <w:rFonts w:ascii="Calibri" w:cs="Calibri" w:hAnsi="Calibri" w:eastAsia="Calibri"/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 Spacing"/>
      <w:tabs>
        <w:tab w:val="left" w:pos="7018"/>
      </w:tabs>
      <w:rPr>
        <w:color w:val="1f497d"/>
        <w:u w:color="1f497d"/>
        <w:lang w:val="ru-RU"/>
      </w:rPr>
    </w:pPr>
    <w:r>
      <w:rPr>
        <w:rFonts w:hAnsi="Trebuchet MS" w:hint="default"/>
        <w:color w:val="1f497d"/>
        <w:u w:color="1f497d"/>
        <w:rtl w:val="0"/>
        <w:lang w:val="ru-RU"/>
      </w:rPr>
      <w:t xml:space="preserve">Руководство по комплексному мониторингу для ЦУР </w:t>
    </w:r>
    <w:r>
      <w:rPr>
        <w:rFonts w:ascii="Trebuchet MS"/>
        <w:color w:val="1f497d"/>
        <w:u w:color="1f497d"/>
        <w:rtl w:val="0"/>
        <w:lang w:val="ru-RU"/>
      </w:rPr>
      <w:t>6</w:t>
    </w:r>
  </w:p>
  <w:p>
    <w:pPr>
      <w:pStyle w:val="No Spacing"/>
    </w:pPr>
    <w:r>
      <w:rPr>
        <w:rFonts w:ascii="Calibri" w:cs="Calibri" w:hAnsi="Calibri" w:eastAsia="Calibri"/>
        <w:color w:val="1f497d"/>
        <w:u w:color="1f497d"/>
        <w:rtl w:val="0"/>
        <w:lang w:val="ru-RU"/>
      </w:rPr>
      <w:t xml:space="preserve">Пошаговая методология мониторинга для показателя </w:t>
    </w:r>
    <w:r>
      <w:rPr>
        <w:rFonts w:ascii="Calibri" w:cs="Calibri" w:hAnsi="Calibri" w:eastAsia="Calibri"/>
        <w:color w:val="1f497d"/>
        <w:u w:color="1f497d"/>
        <w:rtl w:val="0"/>
        <w:lang w:val="ru-RU"/>
      </w:rPr>
      <w:t>6.5.</w:t>
    </w:r>
    <w:r>
      <w:rPr>
        <w:rFonts w:ascii="Calibri" w:cs="Calibri" w:hAnsi="Calibri" w:eastAsia="Calibri"/>
        <w:color w:val="1f497d"/>
        <w:u w:color="1f497d"/>
        <w:rtl w:val="0"/>
        <w:lang w:val="de-DE"/>
      </w:rPr>
      <w:t>1</w:t>
    </w:r>
    <w:r>
      <w:rPr>
        <w:color w:val="1f497d"/>
        <w:u w:color="1f497d"/>
        <w:lang w:val="de-DE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72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smallCaps w:val="1"/>
      <w:strike w:val="0"/>
      <w:dstrike w:val="0"/>
      <w:outline w:val="0"/>
      <w:color w:val="4f81bd"/>
      <w:spacing w:val="10"/>
      <w:kern w:val="28"/>
      <w:position w:val="0"/>
      <w:sz w:val="52"/>
      <w:szCs w:val="52"/>
      <w:u w:val="none" w:color="4f81bd"/>
      <w:vertAlign w:val="baseline"/>
      <w:lang w:val="en-US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Subtitle">
    <w:name w:val="Subtitle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0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smallCaps w:val="1"/>
      <w:strike w:val="0"/>
      <w:dstrike w:val="0"/>
      <w:outline w:val="0"/>
      <w:color w:val="595959"/>
      <w:spacing w:val="10"/>
      <w:kern w:val="0"/>
      <w:position w:val="0"/>
      <w:sz w:val="24"/>
      <w:szCs w:val="24"/>
      <w:u w:val="none" w:color="595959"/>
      <w:vertAlign w:val="baseline"/>
      <w:lang w:val="en-US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lang w:val="ru-RU"/>
    </w:rPr>
  </w:style>
  <w:style w:type="character" w:styleId="Hyperlink.1">
    <w:name w:val="Hyperlink.1"/>
    <w:basedOn w:val="Ссылка"/>
    <w:next w:val="Hyperlink.1"/>
    <w:rPr>
      <w:lang w:val="de-DE"/>
    </w:rPr>
  </w:style>
  <w:style w:type="paragraph" w:styleId="Заголовок">
    <w:name w:val="Заголовок"/>
    <w:next w:val="Текстовый блок"/>
    <w:pPr>
      <w:keepNext w:val="0"/>
      <w:keepLines w:val="0"/>
      <w:pageBreakBefore w:val="0"/>
      <w:widowControl w:val="1"/>
      <w:pBdr>
        <w:top w:val="single" w:color="4f81bd" w:sz="24" w:space="0" w:shadow="0" w:frame="0"/>
        <w:left w:val="single" w:color="4f81bd" w:sz="24" w:space="0" w:shadow="0" w:frame="0"/>
        <w:bottom w:val="single" w:color="4f81bd" w:sz="24" w:space="0" w:shadow="0" w:frame="0"/>
        <w:right w:val="single" w:color="4f81bd" w:sz="24" w:space="0" w:shadow="0" w:frame="0"/>
      </w:pBdr>
      <w:shd w:val="clear" w:color="auto" w:fill="4f81bd"/>
      <w:suppressAutoHyphens w:val="0"/>
      <w:bidi w:val="0"/>
      <w:spacing w:before="200" w:after="0" w:line="276" w:lineRule="auto"/>
      <w:ind w:left="720" w:right="0" w:hanging="72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smallCaps w:val="1"/>
      <w:strike w:val="0"/>
      <w:dstrike w:val="0"/>
      <w:outline w:val="0"/>
      <w:color w:val="ffffff"/>
      <w:spacing w:val="15"/>
      <w:kern w:val="0"/>
      <w:position w:val="0"/>
      <w:sz w:val="22"/>
      <w:szCs w:val="22"/>
      <w:u w:val="none" w:color="ffffff"/>
      <w:vertAlign w:val="baseline"/>
      <w:lang w:val="ru-RU"/>
    </w:rPr>
  </w:style>
  <w:style w:type="paragraph" w:styleId="Заголовок 2">
    <w:name w:val="Заголовок 2"/>
    <w:next w:val="Текстовый блок"/>
    <w:pPr>
      <w:keepNext w:val="0"/>
      <w:keepLines w:val="0"/>
      <w:pageBreakBefore w:val="0"/>
      <w:widowControl w:val="1"/>
      <w:pBdr>
        <w:top w:val="single" w:color="dbe5f1" w:sz="24" w:space="0" w:shadow="0" w:frame="0"/>
        <w:left w:val="single" w:color="dbe5f1" w:sz="24" w:space="0" w:shadow="0" w:frame="0"/>
        <w:bottom w:val="single" w:color="dbe5f1" w:sz="24" w:space="0" w:shadow="0" w:frame="0"/>
        <w:right w:val="single" w:color="dbe5f1" w:sz="24" w:space="0" w:shadow="0" w:frame="0"/>
      </w:pBdr>
      <w:shd w:val="clear" w:color="auto" w:fill="dbe5f1"/>
      <w:suppressAutoHyphens w:val="0"/>
      <w:bidi w:val="0"/>
      <w:spacing w:before="200" w:after="0" w:line="276" w:lineRule="auto"/>
      <w:ind w:left="709" w:right="0" w:hanging="709"/>
      <w:jc w:val="left"/>
      <w:outlineLvl w:val="1"/>
    </w:pPr>
    <w:rPr>
      <w:rFonts w:ascii="Calibri" w:cs="Calibri" w:hAnsi="Calibri" w:eastAsia="Calibri"/>
      <w:b w:val="0"/>
      <w:bCs w:val="0"/>
      <w:i w:val="0"/>
      <w:iCs w:val="0"/>
      <w:smallCaps w:val="1"/>
      <w:strike w:val="0"/>
      <w:dstrike w:val="0"/>
      <w:outline w:val="0"/>
      <w:color w:val="000000"/>
      <w:spacing w:val="15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2">
    <w:name w:val="Hyperlink.2"/>
    <w:basedOn w:val="Ссылка"/>
    <w:next w:val="Hyperlink.2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iwrmdataportal.unepdhi.org/iwrmmonitoring.html" TargetMode="External"/><Relationship Id="rId5" Type="http://schemas.openxmlformats.org/officeDocument/2006/relationships/hyperlink" Target="https://www.surveymonkey.com/r/LGLWVNH" TargetMode="External"/><Relationship Id="rId6" Type="http://schemas.openxmlformats.org/officeDocument/2006/relationships/hyperlink" Target="mailto:Iwrm.Sdg6survey@unep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notes" Target="footnotes.xml"/><Relationship Id="rId10" Type="http://schemas.openxmlformats.org/officeDocument/2006/relationships/theme" Target="theme/theme1.xml"/></Relationships>
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://iwrmdataportal.unepdhi.org/iwrmmonitoring.html" TargetMode="External"/><Relationship Id="rId2" Type="http://schemas.openxmlformats.org/officeDocument/2006/relationships/hyperlink" Target="mailto:pkb@dhigroup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